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7E4BD" w:themeColor="accent3" w:themeTint="66"/>
  <w:body>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ab/>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jc w:val="center"/>
        <w:rPr>
          <w:color w:val="000000" w:themeColor="text1"/>
          <w:sz w:val="84"/>
          <w:szCs w:val="84"/>
          <w14:textFill>
            <w14:solidFill>
              <w14:schemeClr w14:val="tx1"/>
            </w14:solidFill>
          </w14:textFill>
        </w:rPr>
      </w:pPr>
      <w:r>
        <w:rPr>
          <w:rFonts w:hint="eastAsia"/>
          <w:color w:val="000000" w:themeColor="text1"/>
          <w:sz w:val="84"/>
          <w:szCs w:val="84"/>
          <w14:textFill>
            <w14:solidFill>
              <w14:schemeClr w14:val="tx1"/>
            </w14:solidFill>
          </w14:textFill>
        </w:rPr>
        <w:t>质 量 协 议</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spacing w:line="480" w:lineRule="auto"/>
        <w:ind w:firstLine="1600" w:firstLineChars="50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甲</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方：荣盛盟固利新能源科技股份有限公司 </w:t>
      </w:r>
    </w:p>
    <w:p>
      <w:pPr>
        <w:spacing w:line="480" w:lineRule="auto"/>
        <w:ind w:firstLine="1600" w:firstLineChars="50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乙</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方：</w:t>
      </w:r>
    </w:p>
    <w:p>
      <w:pPr>
        <w:spacing w:line="480" w:lineRule="auto"/>
        <w:ind w:firstLine="1600" w:firstLineChars="50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签订地点：北京市昌平区</w:t>
      </w:r>
    </w:p>
    <w:p>
      <w:pPr>
        <w:spacing w:line="480" w:lineRule="auto"/>
        <w:ind w:firstLine="1600" w:firstLineChars="50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签订日期：</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年</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月</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日</w:t>
      </w:r>
    </w:p>
    <w:p>
      <w:pPr>
        <w:spacing w:line="480" w:lineRule="auto"/>
        <w:ind w:firstLine="1600" w:firstLineChars="50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产品名称：</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目的</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确保乙方向甲方交付的全部产品，符合国家法律法规、国家</w:t>
      </w:r>
      <w:r>
        <w:rPr>
          <w:rFonts w:ascii="宋体" w:hAnsi="宋体" w:eastAsia="宋体" w:cs="宋体"/>
          <w:color w:val="000000" w:themeColor="text1"/>
          <w:sz w:val="24"/>
          <w:szCs w:val="24"/>
          <w14:textFill>
            <w14:solidFill>
              <w14:schemeClr w14:val="tx1"/>
            </w14:solidFill>
          </w14:textFill>
        </w:rPr>
        <w:t>/行业或地方标准</w:t>
      </w:r>
      <w:r>
        <w:rPr>
          <w:rFonts w:hint="eastAsia" w:ascii="宋体" w:hAnsi="宋体" w:eastAsia="宋体" w:cs="宋体"/>
          <w:color w:val="000000" w:themeColor="text1"/>
          <w:sz w:val="24"/>
          <w:szCs w:val="24"/>
          <w14:textFill>
            <w14:solidFill>
              <w14:schemeClr w14:val="tx1"/>
            </w14:solidFill>
          </w14:textFill>
        </w:rPr>
        <w:t>、双方签订的技术协议、质量协议及甲方的其他质量要求（包括但不限于甲方以书面通知形式告知的结构、机能、性能、安全性、节能性、环保性等要求）。</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术语及定义</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 客户端：指甲方的客户或甲方产品的终端使用者。</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 直接损失：是指与行为有直接因果关系而造成的财产损毁、减少的实际价值、停工停产造成的全部损失、客户索赔等（包括但不限于本合同有明确约定的直接损失的内容、项目及范围）。</w:t>
      </w:r>
      <w:r>
        <w:rPr>
          <w:rFonts w:hint="eastAsia" w:ascii="宋体" w:hAnsi="宋体" w:eastAsia="宋体" w:cs="宋体"/>
          <w:b/>
          <w:color w:val="000000" w:themeColor="text1"/>
          <w:sz w:val="24"/>
          <w:szCs w:val="24"/>
          <w14:textFill>
            <w14:solidFill>
              <w14:schemeClr w14:val="tx1"/>
            </w14:solidFill>
          </w14:textFill>
        </w:rPr>
        <w:t xml:space="preserve"> </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 间接损失：是指由直接损失引起和牵连的其他损失，包括失去的在正常情况下可以获得的利益和为恢复正常的管理活动或者挽回所造成的损失所支付的各种开支、费用等（包括但不限于本合同有明确约定的直接损失的内容、项目及范围）。</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2.4 设备：制造产品所必须的设备、机械、模具、工装、夹具、监视测量装置、试验机等。</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2.5 限度样本：乙方交付的产品，在不影响产品功能的外观项目上存在难以量化或检测而订立的，经甲乙双方确认并签字的产品实物检验参照限度样品。</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2.6 书面通知：以电子邮件、邮寄等方式送达的授权代表签字或盖公章的文件通知。</w:t>
      </w:r>
    </w:p>
    <w:p>
      <w:pPr>
        <w:pStyle w:val="16"/>
        <w:numPr>
          <w:ilvl w:val="0"/>
          <w:numId w:val="1"/>
        </w:numPr>
        <w:ind w:firstLineChars="0"/>
        <w:rPr>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法律法规、标准及要求</w:t>
      </w:r>
      <w:bookmarkStart w:id="0" w:name="_GoBack"/>
      <w:bookmarkEnd w:id="0"/>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3.1.</w:t>
      </w:r>
      <w:r>
        <w:rPr>
          <w:rFonts w:hint="eastAsia" w:ascii="宋体" w:hAnsi="宋体" w:eastAsia="宋体" w:cs="宋体"/>
          <w:color w:val="000000" w:themeColor="text1"/>
          <w:sz w:val="24"/>
          <w:szCs w:val="24"/>
          <w14:textFill>
            <w14:solidFill>
              <w14:schemeClr w14:val="tx1"/>
            </w14:solidFill>
          </w14:textFill>
        </w:rPr>
        <w:t>乙方所提供的产品必须符合《中华人民共和国产品质量法》、《中华人民共和国计量法》、《缺陷汽车产品召回管理规定》及安全、环保、节能等</w:t>
      </w:r>
      <w:r>
        <w:rPr>
          <w:rFonts w:hint="eastAsia" w:ascii="宋体" w:hAnsi="宋体" w:eastAsia="宋体" w:cs="宋体"/>
          <w:color w:val="000000" w:themeColor="text1"/>
          <w:sz w:val="24"/>
          <w:szCs w:val="24"/>
          <w:lang w:val="en-US" w:eastAsia="zh-CN"/>
          <w14:textFill>
            <w14:solidFill>
              <w14:schemeClr w14:val="tx1"/>
            </w14:solidFill>
          </w14:textFill>
        </w:rPr>
        <w:t>方面</w:t>
      </w:r>
      <w:r>
        <w:rPr>
          <w:rFonts w:hint="eastAsia" w:ascii="宋体" w:hAnsi="宋体" w:eastAsia="宋体" w:cs="宋体"/>
          <w:color w:val="000000" w:themeColor="text1"/>
          <w:sz w:val="24"/>
          <w:szCs w:val="24"/>
          <w14:textFill>
            <w14:solidFill>
              <w14:schemeClr w14:val="tx1"/>
            </w14:solidFill>
          </w14:textFill>
        </w:rPr>
        <w:t>相关的法律法规。</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3.2</w:t>
      </w:r>
      <w:r>
        <w:rPr>
          <w:rFonts w:hint="eastAsia" w:ascii="宋体" w:hAnsi="宋体" w:eastAsia="宋体" w:cs="宋体"/>
          <w:color w:val="000000" w:themeColor="text1"/>
          <w:sz w:val="24"/>
          <w:szCs w:val="24"/>
          <w14:textFill>
            <w14:solidFill>
              <w14:schemeClr w14:val="tx1"/>
            </w14:solidFill>
          </w14:textFill>
        </w:rPr>
        <w:t>乙方提供的产品应符合国家、行业的强制性标准，若有新标准颁布，自新标准执行之日起，应按新标准执行。</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3.3</w:t>
      </w:r>
      <w:r>
        <w:rPr>
          <w:rFonts w:hint="eastAsia" w:ascii="宋体" w:hAnsi="宋体" w:eastAsia="宋体" w:cs="宋体"/>
          <w:color w:val="000000" w:themeColor="text1"/>
          <w:sz w:val="24"/>
          <w:szCs w:val="24"/>
          <w14:textFill>
            <w14:solidFill>
              <w14:schemeClr w14:val="tx1"/>
            </w14:solidFill>
          </w14:textFill>
        </w:rPr>
        <w:t>若乙方所提供的产品是由甲方提供的技术要求及图纸，则乙方所提供的产品必须符合甲方有关企业标准及技术要求：包括但不限于甲方正式书面发布的企业标准、技术要求、图纸、技术联络单、质量通知等，甲方将根据国家的规定和企业的发展不时修订上述标准要求，并提前书面通知乙方。对于国家、行业强制性标准和甲方技术要求中没有规定的项目，乙方应保证不低于</w:t>
      </w:r>
      <w:r>
        <w:rPr>
          <w:rFonts w:hint="eastAsia" w:ascii="宋体" w:hAnsi="宋体" w:eastAsia="宋体" w:cs="宋体"/>
          <w:color w:val="000000" w:themeColor="text1"/>
          <w:sz w:val="24"/>
          <w:szCs w:val="24"/>
          <w:highlight w:val="none"/>
          <w14:textFill>
            <w14:solidFill>
              <w14:schemeClr w14:val="tx1"/>
            </w14:solidFill>
          </w14:textFill>
        </w:rPr>
        <w:t>行业水平</w:t>
      </w:r>
      <w:r>
        <w:rPr>
          <w:rFonts w:hint="eastAsia" w:ascii="宋体" w:hAnsi="宋体" w:eastAsia="宋体" w:cs="宋体"/>
          <w:color w:val="000000" w:themeColor="text1"/>
          <w:sz w:val="24"/>
          <w:szCs w:val="24"/>
          <w14:textFill>
            <w14:solidFill>
              <w14:schemeClr w14:val="tx1"/>
            </w14:solidFill>
          </w14:textFill>
        </w:rPr>
        <w:t>。</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3.4 </w:t>
      </w:r>
      <w:r>
        <w:rPr>
          <w:rFonts w:hint="eastAsia" w:ascii="宋体" w:hAnsi="宋体" w:eastAsia="宋体" w:cs="宋体"/>
          <w:color w:val="000000" w:themeColor="text1"/>
          <w:sz w:val="24"/>
          <w:szCs w:val="24"/>
          <w14:textFill>
            <w14:solidFill>
              <w14:schemeClr w14:val="tx1"/>
            </w14:solidFill>
          </w14:textFill>
        </w:rPr>
        <w:t>若乙方所提供的产品是由乙方提供技术要求及图纸，则乙方所提供的产品的技术标准、质量标准必须由甲方书面确认，乙方应在本协议签订之日起15日内，向甲方提交加盖公章的相关产品的技术标准、质量标准，乙方修订上述标准的，应当提前【3】日书面告知甲方。若乙方所提供的产品中的某些特性在双方签署的协议中无明确约定，则该部分产品特性必须符合或高于行业标准。</w:t>
      </w:r>
    </w:p>
    <w:p>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当乙方提供的产品首次在甲方产品应用时，甲方可以对乙方设计的不完善之处提出书面更改建议，乙方应当按照甲方的书面更改建议履行解释义务并尽力改善产品。</w:t>
      </w:r>
    </w:p>
    <w:p>
      <w:pPr>
        <w:snapToGrid w:val="0"/>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3.5</w:t>
      </w:r>
      <w:r>
        <w:rPr>
          <w:rFonts w:hint="eastAsia" w:ascii="宋体" w:hAnsi="宋体" w:eastAsia="宋体" w:cs="宋体"/>
          <w:color w:val="000000" w:themeColor="text1"/>
          <w:sz w:val="24"/>
          <w:szCs w:val="24"/>
          <w14:textFill>
            <w14:solidFill>
              <w14:schemeClr w14:val="tx1"/>
            </w14:solidFill>
          </w14:textFill>
        </w:rPr>
        <w:t>乙方供给甲方的所有产品不侵犯任何他人的知识产权</w:t>
      </w:r>
      <w:r>
        <w:rPr>
          <w:rFonts w:hint="eastAsia" w:ascii="宋体" w:hAnsi="宋体" w:eastAsia="宋体" w:cs="宋体"/>
          <w:color w:val="000000" w:themeColor="text1"/>
          <w:sz w:val="24"/>
          <w:szCs w:val="24"/>
          <w:lang w:val="en-US" w:eastAsia="zh-CN"/>
          <w14:textFill>
            <w14:solidFill>
              <w14:schemeClr w14:val="tx1"/>
            </w14:solidFill>
          </w14:textFill>
        </w:rPr>
        <w:t>或其他权利</w:t>
      </w:r>
      <w:r>
        <w:rPr>
          <w:rFonts w:hint="eastAsia" w:ascii="宋体" w:hAnsi="宋体" w:eastAsia="宋体" w:cs="宋体"/>
          <w:color w:val="000000" w:themeColor="text1"/>
          <w:sz w:val="24"/>
          <w:szCs w:val="24"/>
          <w14:textFill>
            <w14:solidFill>
              <w14:schemeClr w14:val="tx1"/>
            </w14:solidFill>
          </w14:textFill>
        </w:rPr>
        <w:t>，也未发生任何侵犯第三方知识产权事项，侵权范围包括但不限于专利、外观设计、实用新型、商标等。如有侵权，与甲方无关，由乙方负责解决，并</w:t>
      </w:r>
      <w:r>
        <w:rPr>
          <w:rFonts w:hint="eastAsia" w:ascii="宋体" w:hAnsi="宋体" w:eastAsia="宋体" w:cs="宋体"/>
          <w:color w:val="000000" w:themeColor="text1"/>
          <w:sz w:val="24"/>
          <w:szCs w:val="24"/>
          <w:lang w:val="en-US" w:eastAsia="zh-CN"/>
          <w14:textFill>
            <w14:solidFill>
              <w14:schemeClr w14:val="tx1"/>
            </w14:solidFill>
          </w14:textFill>
        </w:rPr>
        <w:t>由乙方</w:t>
      </w:r>
      <w:r>
        <w:rPr>
          <w:rFonts w:hint="eastAsia" w:ascii="宋体" w:hAnsi="宋体" w:eastAsia="宋体" w:cs="宋体"/>
          <w:color w:val="000000" w:themeColor="text1"/>
          <w:sz w:val="24"/>
          <w:szCs w:val="24"/>
          <w14:textFill>
            <w14:solidFill>
              <w14:schemeClr w14:val="tx1"/>
            </w14:solidFill>
          </w14:textFill>
        </w:rPr>
        <w:t>承担全部责任。若因此给甲方造成损失的，乙方应据实赔偿，损失包括但不限于直接损失、间接损失、国家补贴、地方补贴、律师费、诉讼费、保全费、执行费、公证费以及用户对甲方的索赔（用户的运营补贴损失、停班费、误工费等）。</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质量要求</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4.1 乙方交付的产品必须符合甲乙双方签订的《技术协议》、《质量协议》等，若双方签订的《技术协议》、《质量协议》等对产品或其中的某项技术性能无明确约定的，由双方进行协商并签订补充协议。如无法达成补充协议的，该部分产品特性必须符合或高于</w:t>
      </w:r>
      <w:r>
        <w:rPr>
          <w:rFonts w:hint="eastAsia" w:ascii="宋体" w:hAnsi="宋体" w:eastAsia="宋体" w:cs="宋体"/>
          <w:color w:val="000000" w:themeColor="text1"/>
          <w:sz w:val="24"/>
          <w:szCs w:val="24"/>
          <w:highlight w:val="none"/>
          <w14:textFill>
            <w14:solidFill>
              <w14:schemeClr w14:val="tx1"/>
            </w14:solidFill>
          </w14:textFill>
        </w:rPr>
        <w:t>行业标准</w:t>
      </w:r>
      <w:r>
        <w:rPr>
          <w:rFonts w:hint="eastAsia" w:ascii="宋体" w:hAnsi="宋体" w:eastAsia="宋体" w:cs="宋体"/>
          <w:color w:val="000000" w:themeColor="text1"/>
          <w:sz w:val="24"/>
          <w:szCs w:val="24"/>
          <w14:textFill>
            <w14:solidFill>
              <w14:schemeClr w14:val="tx1"/>
            </w14:solidFill>
          </w14:textFill>
        </w:rPr>
        <w:t>。</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4.2乙方交付给甲方的产品质保期依照具体商务合同约定</w:t>
      </w:r>
      <w:r>
        <w:rPr>
          <w:rFonts w:hint="eastAsia" w:ascii="宋体" w:hAnsi="宋体" w:eastAsia="宋体" w:cs="宋体"/>
          <w:color w:val="000000" w:themeColor="text1"/>
          <w:sz w:val="24"/>
          <w:szCs w:val="24"/>
          <w:lang w:val="en-US" w:eastAsia="zh-CN"/>
          <w14:textFill>
            <w14:solidFill>
              <w14:schemeClr w14:val="tx1"/>
            </w14:solidFill>
          </w14:textFill>
        </w:rPr>
        <w:t>执行</w:t>
      </w:r>
      <w:r>
        <w:rPr>
          <w:rFonts w:hint="eastAsia" w:ascii="宋体" w:hAnsi="宋体" w:eastAsia="宋体" w:cs="宋体"/>
          <w:color w:val="000000" w:themeColor="text1"/>
          <w:sz w:val="24"/>
          <w:szCs w:val="24"/>
          <w14:textFill>
            <w14:solidFill>
              <w14:schemeClr w14:val="tx1"/>
            </w14:solidFill>
          </w14:textFill>
        </w:rPr>
        <w:t>。</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4.3 乙方在供货前，由甲方提供样品的技术要求、检验标准，乙方应按照甲方要求进行检验和试验，并将报告和样品提交甲方。经甲方批准后的样品作为批量生产时的标准。 </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4.4 乙方在批量供货时，须对每批产品进行检验，并将《出厂检验报告》提交甲方。 </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4.5 乙方应制定生产过程控制文件、作业指导书和产品入库前的检验指导书，确保质量稳定，符合甲方要求。 </w:t>
      </w:r>
    </w:p>
    <w:p>
      <w:pPr>
        <w:snapToGrid w:val="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4.6乙方在批量供货过程中，如有生产条件、制造过程、检验条件或包装物流方式等需要变更时，按照本协议第八项“变更管理”执行。</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4.7 标识与可追溯性管理要求</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应在产品加工过程、交付产品的外包装和最小包装上，明确区分标识生产批次号或日期号，并采取措施进行切实有效管理。乙方交付的产品标识，应包括符合甲方要求规定的物料编码及条码编码规则，并确保易于识别、不被遮挡，还包括甲乙双方特殊需求下的单独标识。</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4.8 质量异常的联络要求</w:t>
      </w:r>
    </w:p>
    <w:p>
      <w:pPr>
        <w:spacing w:line="300" w:lineRule="auto"/>
        <w:ind w:firstLine="480" w:firstLineChars="200"/>
        <w:rPr>
          <w:rFonts w:ascii="宋体" w:hAnsi="宋体" w:cs="宋体"/>
          <w:color w:val="000000" w:themeColor="text1"/>
          <w:sz w:val="24"/>
          <w:highlight w:val="red"/>
          <w14:textFill>
            <w14:solidFill>
              <w14:schemeClr w14:val="tx1"/>
            </w14:solidFill>
          </w14:textFill>
        </w:rPr>
      </w:pPr>
      <w:r>
        <w:rPr>
          <w:rFonts w:hint="eastAsia" w:ascii="宋体" w:hAnsi="宋体" w:cs="宋体"/>
          <w:color w:val="000000" w:themeColor="text1"/>
          <w:sz w:val="24"/>
          <w14:textFill>
            <w14:solidFill>
              <w14:schemeClr w14:val="tx1"/>
            </w14:solidFill>
          </w14:textFill>
        </w:rPr>
        <w:t>4.8.1</w:t>
      </w:r>
      <w:r>
        <w:rPr>
          <w:rFonts w:hint="eastAsia" w:ascii="宋体" w:hAnsi="宋体" w:cs="宋体"/>
          <w:color w:val="000000" w:themeColor="text1"/>
          <w:sz w:val="24"/>
          <w:highlight w:val="none"/>
          <w14:textFill>
            <w14:solidFill>
              <w14:schemeClr w14:val="tx1"/>
            </w14:solidFill>
          </w14:textFill>
        </w:rPr>
        <w:t xml:space="preserve"> 产品不符合《技术协议》、《质量协议》或出现其他质量异常时，乙方应立即书面通知甲方，提供必要的数据和实际情况描述，在【24】小时内给出有效的应对及解决方案。</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4.8.2 乙方交付的产品在甲方收货、生产及市场流通等所有过程中，出现产品质量问题时，甲方通知乙方（包括但不限于电话、邮件及其它书面等形式），乙方应按甲方的要求组织原因分析并提出处置措施，并在接到通知后的一个工作日内签署意见反馈甲方。</w:t>
      </w:r>
    </w:p>
    <w:p>
      <w:pPr>
        <w:spacing w:line="300" w:lineRule="auto"/>
        <w:ind w:firstLine="480" w:firstLineChars="200"/>
        <w:rPr>
          <w:rFonts w:ascii="宋体" w:hAnsi="宋体" w:cs="宋体"/>
          <w:color w:val="000000" w:themeColor="text1"/>
          <w:sz w:val="24"/>
          <w:highlight w:val="yellow"/>
          <w14:textFill>
            <w14:solidFill>
              <w14:schemeClr w14:val="tx1"/>
            </w14:solidFill>
          </w14:textFill>
        </w:rPr>
      </w:pPr>
      <w:r>
        <w:rPr>
          <w:rFonts w:hint="eastAsia" w:ascii="宋体" w:hAnsi="宋体" w:cs="宋体"/>
          <w:color w:val="000000" w:themeColor="text1"/>
          <w:sz w:val="24"/>
          <w14:textFill>
            <w14:solidFill>
              <w14:schemeClr w14:val="tx1"/>
            </w14:solidFill>
          </w14:textFill>
        </w:rPr>
        <w:t>4.8.3 甲方相关部门将按月组织进行供应商质量绩效表现排名，最差的5名供应商将被要求分析质量状况、通报改进措施及落实情况。乙方质量部门负责人或分管副总或最高管理者必须按要求参加会议</w:t>
      </w:r>
      <w:r>
        <w:rPr>
          <w:rFonts w:hint="eastAsia" w:ascii="宋体" w:hAnsi="宋体" w:cs="宋体"/>
          <w:color w:val="000000" w:themeColor="text1"/>
          <w:sz w:val="24"/>
          <w:highlight w:val="none"/>
          <w14:textFill>
            <w14:solidFill>
              <w14:schemeClr w14:val="tx1"/>
            </w14:solidFill>
          </w14:textFill>
        </w:rPr>
        <w:t>。会议的召开地点由甲方指定（可以是甲方所在地，也可以是在质量较差的供应商处），会议费用（包括甲方人员的差旅费用</w:t>
      </w:r>
      <w:r>
        <w:rPr>
          <w:rFonts w:hint="eastAsia" w:ascii="宋体" w:hAnsi="宋体" w:cs="宋体"/>
          <w:color w:val="000000" w:themeColor="text1"/>
          <w:sz w:val="24"/>
          <w:highlight w:val="none"/>
          <w:lang w:val="en-US" w:eastAsia="zh-CN"/>
          <w14:textFill>
            <w14:solidFill>
              <w14:schemeClr w14:val="tx1"/>
            </w14:solidFill>
          </w14:textFill>
        </w:rPr>
        <w:t>等</w:t>
      </w:r>
      <w:r>
        <w:rPr>
          <w:rFonts w:hint="eastAsia" w:ascii="宋体" w:hAnsi="宋体" w:cs="宋体"/>
          <w:color w:val="000000" w:themeColor="text1"/>
          <w:sz w:val="24"/>
          <w:highlight w:val="none"/>
          <w14:textFill>
            <w14:solidFill>
              <w14:schemeClr w14:val="tx1"/>
            </w14:solidFill>
          </w14:textFill>
        </w:rPr>
        <w:t>）由质量较差的供应商承担。</w:t>
      </w:r>
    </w:p>
    <w:p>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4.9 服务要求</w:t>
      </w:r>
    </w:p>
    <w:p>
      <w:pPr>
        <w:spacing w:line="30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4.9.1 如甲方要求进行人员技术培训与指导时，乙方应按照甲方要求时间安排相关人员到达甲方指定地点并开展工作，培训时长根据具体情况由双方书面确定，因此产生的费用由乙方自行承担。</w:t>
      </w:r>
    </w:p>
    <w:p>
      <w:pPr>
        <w:spacing w:line="30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4.9.2 如甲方要求乙方到甲方指定地点进行驻点服务时，乙方应按照甲方要求时间安排相应资质人员到达指定地点，乙方服务人员应积极配合甲方完成生产任务及服务任务。</w:t>
      </w:r>
    </w:p>
    <w:p>
      <w:pPr>
        <w:spacing w:line="300" w:lineRule="auto"/>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4.9.3 乙方良好的服务行为可以作为酌情减轻处罚或索赔的参考因素，最终决定权在于甲方。</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质量保证</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 建立质量保证体系</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5.1.1 乙方有义务按汽车行业的要求建立ISO9001或IATF16949质量管理体系，并且有责任维持这个体系的零缺陷目标、持续改进服务等活动的有效性。</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5.1.2对于乙方交付的产品的重要供应商，甲方有权要求乙方提供证明文件，表明乙方自身已经确认了其产品供应商所运行的质量管理体系的有效性。甲方有权利对乙方的该重要供应商进行评估，评估结果将直接影响对乙方质量管理体系运行的评价结果。</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5.1.3 乙方同意甲方通过审核手段，检查其质量管理方法是否达到甲方的要求。审核可以是体系审核、过程审核或产品审核。</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5.1.4乙方同意甲方在检查、审核或考核时接近乙方所有的操作设备、试验中心、仓库及邻近区域，并且可以检查与质量有关的文件。在此情况下，乙方为保证其商业秘密的安全性所要求实施的适当措施将被甲方接受。</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5.1.5甲方将审核结果反馈给乙方。如果甲方认为应该采取一些纠正措施，乙方应及时拟订措施计划，在甲方要求的期限内执行（常规为</w:t>
      </w:r>
      <w:r>
        <w:rPr>
          <w:rFonts w:ascii="宋体" w:hAnsi="宋体" w:cs="宋体"/>
          <w:color w:val="000000" w:themeColor="text1"/>
          <w:sz w:val="24"/>
          <w14:textFill>
            <w14:solidFill>
              <w14:schemeClr w14:val="tx1"/>
            </w14:solidFill>
          </w14:textFill>
        </w:rPr>
        <w:t>15个工作日内</w:t>
      </w:r>
      <w:r>
        <w:rPr>
          <w:rFonts w:hint="eastAsia" w:ascii="宋体" w:hAnsi="宋体" w:cs="宋体"/>
          <w:color w:val="000000" w:themeColor="text1"/>
          <w:sz w:val="24"/>
          <w14:textFill>
            <w14:solidFill>
              <w14:schemeClr w14:val="tx1"/>
            </w14:solidFill>
          </w14:textFill>
        </w:rPr>
        <w:t>，涉及重大环节整改的由甲方评估而定），并将改善结果佐证和效果反馈至甲方。</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5.1.6对以下两种情况，费用由乙方承担：当派遣人员为甲方管理人员时，其费用为1500元人民币/人•日；当派遣人员为甲方聘请的第三方专家时，其费用为5000元人民币/人•日；驻厂检验人员费用为1000元人民币/人•日。</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a.新品开发过程APQP各阶段提交产品检查不合格后，需对乙方进行现场复查；</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b.因乙方制造过程变异导致交付给甲方的产品试验不合格，对其制造过程的现场审核；或出现批量、重大的质量问题，甲方安排到乙方现场的驻厂检验和质量提升辅导。</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5.1.7乙方应按控制计划进行生产，并在生产过程中按计划进行产品审核、过程审核。</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5.1.8 乙方指定质量保证体系管理及经营的质量负责人，并在本协议生效后【</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】日内书面向甲方提交质量负责人的相关信息。如乙方质量负责人变更时，应提前【15】日书面通知甲方。</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5.1.9 乙方保证制造产品使用的零件、材料等物资完全符合该产品质量要求和行业标准，并有充分的质量保证证明资料。</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 设备、模具、工装、监视测量装置等的准备及管理</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5.2.1乙方准备为制造产品所必须的设备、机械、模具、工装、夹具、监视测量装置、试验机等（以下称制造设备），要进行例行维护管理工作，以确保产品制造质量的精确度。</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5.2.2乙方应根据甲方要求，及时将乙方制造产品所必须的制造设备精确度管理资料书面提交给甲方确认。</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5.2.3如甲方对乙方提出检具制作要求，乙方应在满足甲方要求的前提下制作检具。并按要求提交检具检测报告，由甲方验收确认。 </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5.2.4乙方应按计量器具管理办法对检具进行管理。</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 乙方外协厂的管理</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5.3.1乙方不得将产品的制造部分或全部委托或承包给第三方（以下称外协厂）；乙方将部分产品加工工序委托或承包给外协厂时，必须事先向甲方提出书面申请并取得甲方书面同意。</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5.3.2乙方外协厂负责的部分产品加工工序质量应满足乙方交付给甲方的产品质量要求，乙方对外协厂产品质量负责并对甲方承担连带责任（包括经甲方书面同意的外协厂）。</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5.3.3为了确保产品质量，乙方应确保外协厂建立相应的质量保证体系并对外协加工工序的质量保证体系及质量保证活动实施情况进行检查、检测、监督等。</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5.3.4甲方及其客户端认为有必要对乙方的外协厂质量保证体系及质量保证活动进行确认时，乙方应切实联络其外协厂，同时协助上述相关人员顺利进入外协厂进行检查或审核。</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5.3.5甲方认为乙方外协厂的产品质量保证体系及质量保证活动需要改善时，乙方应积极与其外协厂寻求改善办法，切实实施改善并提交改善报告。</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5.4 产品的外形、运输过程防护等保障</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5.4.1乙方交付产品的外形、包装及运输方式等，要采取充分而必要的保护措施，确保产品在运输周转环节得到有效的质量与安全保障。所有非量产订单的样品交付，乙方必须做好识别和区分，并在样品的外包装粘贴明显“样品”标识，标识还需涵盖样品对接人姓名、部门等信息。</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5.4.2甲方有权根据需要决定乙方提供产品的外形、包装数量、包装方法、规格及运输方法等，乙方若需要在产品交付过程中对上述项目进行变更，需遵守本协议第八项“变更管理”的要求。</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产品的检验与不合格品处理</w:t>
      </w:r>
    </w:p>
    <w:p>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6.1甲方按《技术协议》、《检验标准》等要求逐批进行抽样/检验，抽样计划由甲方制定。 甲方以每订单进行批次管理，必要时进行留样。若出现质量问题，乙方应在收到甲方通知后立即锁定风险批次，其中锁定的问题批次包括但不局限于该订单批次，乙方需根据该质量问题进行分析，将与该订单批次原因相同的订单均锁定，并在【3】日内完成分析整改，因问题批次产品导致的甲方直接损失和间接损失由乙方承担。当问题无法界定时，甲乙双方可以根据甲方留样产品进行分析和问题判定；甲乙双方根据甲方留样的产品进行分析后仍无法判定时，应当由甲方推荐的第三方检测机构进行判定，鉴定费用由提出鉴定的一方垫付，最终以第三方检测机构鉴定结果为准，鉴定费用及因此造成的甲方直接损失和间接损失由责任方承担。</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6.2</w:t>
      </w:r>
      <w:r>
        <w:rPr>
          <w:rFonts w:hint="eastAsia" w:ascii="宋体" w:hAnsi="宋体" w:eastAsia="宋体"/>
          <w:color w:val="000000" w:themeColor="text1"/>
          <w:sz w:val="24"/>
          <w:szCs w:val="24"/>
          <w14:textFill>
            <w14:solidFill>
              <w14:schemeClr w14:val="tx1"/>
            </w14:solidFill>
          </w14:textFill>
        </w:rPr>
        <w:t>乙方交付产品的性能、质量要求不符合双方签署的《技术协议》和《质量协议》时，乙方应按照甲方要求更换产品、退货，并立即受理甲方索赔。如果甲方选择更换产品，乙方立即免费更换产品，交期不予顺延。</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 xml:space="preserve">6.3 </w:t>
      </w:r>
      <w:r>
        <w:rPr>
          <w:rFonts w:hint="eastAsia" w:ascii="宋体" w:hAnsi="宋体" w:eastAsia="宋体"/>
          <w:color w:val="000000" w:themeColor="text1"/>
          <w:sz w:val="24"/>
          <w:szCs w:val="24"/>
          <w14:textFill>
            <w14:solidFill>
              <w14:schemeClr w14:val="tx1"/>
            </w14:solidFill>
          </w14:textFill>
        </w:rPr>
        <w:t>质保期内，如乙方提供的产品存在质量问题，乙方应在甲方发出书面通知后【</w:t>
      </w:r>
      <w:r>
        <w:rPr>
          <w:rFonts w:hint="eastAsia" w:ascii="宋体" w:hAnsi="宋体" w:eastAsia="宋体"/>
          <w:color w:val="000000" w:themeColor="text1"/>
          <w:sz w:val="24"/>
          <w:szCs w:val="24"/>
          <w:lang w:val="en-US" w:eastAsia="zh-CN"/>
          <w14:textFill>
            <w14:solidFill>
              <w14:schemeClr w14:val="tx1"/>
            </w14:solidFill>
          </w14:textFill>
        </w:rPr>
        <w:t>5</w:t>
      </w:r>
      <w:r>
        <w:rPr>
          <w:rFonts w:hint="eastAsia" w:ascii="宋体" w:hAnsi="宋体" w:eastAsia="宋体"/>
          <w:color w:val="000000" w:themeColor="text1"/>
          <w:sz w:val="24"/>
          <w:szCs w:val="24"/>
          <w14:textFill>
            <w14:solidFill>
              <w14:schemeClr w14:val="tx1"/>
            </w14:solidFill>
          </w14:textFill>
        </w:rPr>
        <w:t>】日内免费进行退、换货，乙方应承担因此给甲方造成的直接和间接经济损失。若乙方未能在</w:t>
      </w:r>
      <w:r>
        <w:rPr>
          <w:rFonts w:hint="eastAsia" w:ascii="宋体" w:hAnsi="宋体" w:eastAsia="宋体"/>
          <w:color w:val="000000" w:themeColor="text1"/>
          <w:sz w:val="24"/>
          <w:szCs w:val="24"/>
          <w:lang w:val="en-US" w:eastAsia="zh-CN"/>
          <w14:textFill>
            <w14:solidFill>
              <w14:schemeClr w14:val="tx1"/>
            </w14:solidFill>
          </w14:textFill>
        </w:rPr>
        <w:t>5</w:t>
      </w:r>
      <w:r>
        <w:rPr>
          <w:rFonts w:ascii="宋体" w:hAnsi="宋体" w:eastAsia="宋体"/>
          <w:color w:val="000000" w:themeColor="text1"/>
          <w:sz w:val="24"/>
          <w:szCs w:val="24"/>
          <w14:textFill>
            <w14:solidFill>
              <w14:schemeClr w14:val="tx1"/>
            </w14:solidFill>
          </w14:textFill>
        </w:rPr>
        <w:t>日内交付替换品，或在交付替换品过程中造成甲方停线停产的，甲方将按照本协议</w:t>
      </w:r>
      <w:r>
        <w:rPr>
          <w:rFonts w:hint="eastAsia" w:ascii="宋体" w:hAnsi="宋体" w:eastAsia="宋体"/>
          <w:color w:val="000000" w:themeColor="text1"/>
          <w:sz w:val="24"/>
          <w:szCs w:val="24"/>
          <w14:textFill>
            <w14:solidFill>
              <w14:schemeClr w14:val="tx1"/>
            </w14:solidFill>
          </w14:textFill>
        </w:rPr>
        <w:t>第九</w:t>
      </w:r>
      <w:r>
        <w:rPr>
          <w:rFonts w:hint="eastAsia" w:ascii="宋体" w:hAnsi="宋体" w:eastAsia="宋体"/>
          <w:color w:val="000000" w:themeColor="text1"/>
          <w:sz w:val="24"/>
          <w:szCs w:val="24"/>
          <w:lang w:val="en-US" w:eastAsia="zh-CN"/>
          <w14:textFill>
            <w14:solidFill>
              <w14:schemeClr w14:val="tx1"/>
            </w14:solidFill>
          </w14:textFill>
        </w:rPr>
        <w:t>条</w:t>
      </w:r>
      <w:r>
        <w:rPr>
          <w:rFonts w:hint="eastAsia" w:ascii="宋体" w:hAnsi="宋体" w:eastAsia="宋体"/>
          <w:color w:val="000000" w:themeColor="text1"/>
          <w:sz w:val="24"/>
          <w:szCs w:val="24"/>
          <w14:textFill>
            <w14:solidFill>
              <w14:schemeClr w14:val="tx1"/>
            </w14:solidFill>
          </w14:textFill>
        </w:rPr>
        <w:t>中“因乙方产品质量问题造成甲方</w:t>
      </w:r>
      <w:r>
        <w:rPr>
          <w:rFonts w:ascii="宋体" w:hAnsi="宋体" w:eastAsia="宋体"/>
          <w:color w:val="000000" w:themeColor="text1"/>
          <w:sz w:val="24"/>
          <w:szCs w:val="24"/>
          <w14:textFill>
            <w14:solidFill>
              <w14:schemeClr w14:val="tx1"/>
            </w14:solidFill>
          </w14:textFill>
        </w:rPr>
        <w:t>停线</w:t>
      </w:r>
      <w:r>
        <w:rPr>
          <w:rFonts w:hint="eastAsia" w:ascii="宋体" w:hAnsi="宋体" w:eastAsia="宋体"/>
          <w:color w:val="000000" w:themeColor="text1"/>
          <w:sz w:val="24"/>
          <w:szCs w:val="24"/>
          <w14:textFill>
            <w14:solidFill>
              <w14:schemeClr w14:val="tx1"/>
            </w14:solidFill>
          </w14:textFill>
        </w:rPr>
        <w:t>”项目进行处罚与索赔处理。</w:t>
      </w:r>
      <w:r>
        <w:rPr>
          <w:rFonts w:hint="eastAsia" w:ascii="宋体" w:hAnsi="宋体" w:eastAsia="宋体"/>
          <w:color w:val="000000" w:themeColor="text1"/>
          <w:sz w:val="24"/>
          <w:szCs w:val="24"/>
          <w:highlight w:val="none"/>
          <w14:textFill>
            <w14:solidFill>
              <w14:schemeClr w14:val="tx1"/>
            </w14:solidFill>
          </w14:textFill>
        </w:rPr>
        <w:t>如同一订单同一质量问题经</w:t>
      </w:r>
      <w:r>
        <w:rPr>
          <w:rFonts w:hint="eastAsia" w:ascii="宋体" w:hAnsi="宋体" w:eastAsia="宋体"/>
          <w:color w:val="000000" w:themeColor="text1"/>
          <w:sz w:val="24"/>
          <w:szCs w:val="24"/>
          <w:highlight w:val="none"/>
          <w:lang w:val="en-US" w:eastAsia="zh-CN"/>
          <w14:textFill>
            <w14:solidFill>
              <w14:schemeClr w14:val="tx1"/>
            </w14:solidFill>
          </w14:textFill>
        </w:rPr>
        <w:t>3</w:t>
      </w:r>
      <w:r>
        <w:rPr>
          <w:rFonts w:ascii="宋体" w:hAnsi="宋体" w:eastAsia="宋体"/>
          <w:color w:val="000000" w:themeColor="text1"/>
          <w:sz w:val="24"/>
          <w:szCs w:val="24"/>
          <w:highlight w:val="none"/>
          <w14:textFill>
            <w14:solidFill>
              <w14:schemeClr w14:val="tx1"/>
            </w14:solidFill>
          </w14:textFill>
        </w:rPr>
        <w:t>次换货仍未达到技术要求的，乙方须</w:t>
      </w:r>
      <w:r>
        <w:rPr>
          <w:rFonts w:hint="eastAsia" w:ascii="宋体" w:hAnsi="宋体" w:eastAsia="宋体"/>
          <w:color w:val="000000" w:themeColor="text1"/>
          <w:sz w:val="24"/>
          <w:szCs w:val="24"/>
          <w:highlight w:val="none"/>
          <w14:textFill>
            <w14:solidFill>
              <w14:schemeClr w14:val="tx1"/>
            </w14:solidFill>
          </w14:textFill>
        </w:rPr>
        <w:t>按该订单对应</w:t>
      </w:r>
      <w:r>
        <w:rPr>
          <w:rFonts w:ascii="宋体" w:hAnsi="宋体" w:eastAsia="宋体"/>
          <w:color w:val="000000" w:themeColor="text1"/>
          <w:sz w:val="24"/>
          <w:szCs w:val="24"/>
          <w:highlight w:val="none"/>
          <w14:textFill>
            <w14:solidFill>
              <w14:schemeClr w14:val="tx1"/>
            </w14:solidFill>
          </w14:textFill>
        </w:rPr>
        <w:t>货款的</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ascii="宋体" w:hAnsi="宋体" w:eastAsia="宋体"/>
          <w:color w:val="000000" w:themeColor="text1"/>
          <w:sz w:val="24"/>
          <w:szCs w:val="24"/>
          <w:highlight w:val="none"/>
          <w14:textFill>
            <w14:solidFill>
              <w14:schemeClr w14:val="tx1"/>
            </w14:solidFill>
          </w14:textFill>
        </w:rPr>
        <w:t>%向甲方支付违约金，</w:t>
      </w:r>
      <w:r>
        <w:rPr>
          <w:rFonts w:hint="eastAsia" w:ascii="宋体" w:hAnsi="宋体" w:eastAsia="宋体"/>
          <w:color w:val="000000" w:themeColor="text1"/>
          <w:sz w:val="24"/>
          <w:szCs w:val="24"/>
          <w:highlight w:val="none"/>
          <w14:textFill>
            <w14:solidFill>
              <w14:schemeClr w14:val="tx1"/>
            </w14:solidFill>
          </w14:textFill>
        </w:rPr>
        <w:t>并</w:t>
      </w:r>
      <w:r>
        <w:rPr>
          <w:rFonts w:hint="eastAsia" w:ascii="宋体" w:hAnsi="宋体" w:eastAsia="宋体"/>
          <w:color w:val="000000" w:themeColor="text1"/>
          <w:sz w:val="24"/>
          <w:szCs w:val="24"/>
          <w14:textFill>
            <w14:solidFill>
              <w14:schemeClr w14:val="tx1"/>
            </w14:solidFill>
          </w14:textFill>
        </w:rPr>
        <w:t>接受甲方对其进行的暂停交付或取消合作等相关措施的决定</w:t>
      </w:r>
      <w:r>
        <w:rPr>
          <w:rFonts w:ascii="宋体" w:hAnsi="宋体" w:eastAsia="宋体"/>
          <w:color w:val="000000" w:themeColor="text1"/>
          <w:sz w:val="24"/>
          <w:szCs w:val="24"/>
          <w14:textFill>
            <w14:solidFill>
              <w14:schemeClr w14:val="tx1"/>
            </w14:solidFill>
          </w14:textFill>
        </w:rPr>
        <w:t>。</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6.4甲方对乙方来料同意接收并不表示甲方完成产品质量检验，乙方提供的产品在仓储/制程/客户端等全部过程中出现任何质量问题，经确认属乙方产品质量问题的，因此产生的全部责任和损失由乙方承担。 </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6.5 对双方约定由乙方负责的检验项目，乙方必须如实检验，并提供检验报告，对于短期可出检测结果的项目，甲方根据检测结果给予合格与否的判定；对于长周期和安规类检测项目，甲方在入库时不作为判定项，但有权定期（一般情况为每年一次，出现材料相关异常时可临时增加检验）委托第三方检测机构进行检测，确保材料符合性。相应的第三方检测费用由乙方承担，在检测后最近一次付款的货款中予以扣除。若材料定期或紧急检测结论不合格，因材料异常导致的全部直接和间接损失和一切连带责任均由乙方承担。</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6.6 供货过程中出现的因检验方法/环境/测量工具等方面的差异，甲乙双方应充分沟通、消除误差、达成一致，并书面确定。 </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6.7 为保证甲乙双方检验方法、检验标准的统一，甲方有权对乙方的检验保证手段进行评估，必要时乙方应当协助甲方满足测试要求。</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6.8当乙方交付的产品经甲方检验为可通过挑选/返工返修处理的次要缺陷时，如甲方在生产急需的情况下可在通知乙方后，自行挑选/返工返修，挑选/返工返修的工时损耗及重复抽样的检验工时费用由乙方承担，按如下标准计算：检验人员按￥50元/小时/人；管理人员参与处置的，按￥100元/小时/人。如甲方要求，乙方应当派人进行挑选/返工返修，甲方负责提供场地，因此产生的费用由乙方承担。</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6.9当乙方交付的产品发生不合格退货时，乙方应免费进行退换，重复抽样的检验工时费用由乙方承担，按6.8条约定执行。</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6.10 </w:t>
      </w:r>
      <w:r>
        <w:rPr>
          <w:rFonts w:hint="eastAsia" w:ascii="宋体" w:hAnsi="宋体" w:eastAsia="宋体" w:cs="宋体"/>
          <w:color w:val="000000" w:themeColor="text1"/>
          <w:sz w:val="24"/>
          <w:szCs w:val="24"/>
          <w14:textFill>
            <w14:solidFill>
              <w14:schemeClr w14:val="tx1"/>
            </w14:solidFill>
          </w14:textFill>
        </w:rPr>
        <w:t>当乙方的材料是由甲方指定厂商提供时，需要三方在首批交付时进行对标及异常处理流程的确定。原则上，由乙方负责主导首批交付的对标工作，结合甲方提出的要求或标准，三方共同沟通并形成标准文件，签字后三方共同保存。对标后的交付过程中出现的材料异常，由乙方和材料提供方直接对接沟通材料异常细节，并将处置结果及时邮件反馈甲方。若出现争议时，可以联系甲方进行最终的协调确认。</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6.11 </w:t>
      </w:r>
      <w:r>
        <w:rPr>
          <w:rFonts w:hint="eastAsia" w:ascii="宋体" w:hAnsi="宋体" w:cs="宋体"/>
          <w:color w:val="000000" w:themeColor="text1"/>
          <w:sz w:val="24"/>
          <w14:textFill>
            <w14:solidFill>
              <w14:schemeClr w14:val="tx1"/>
            </w14:solidFill>
          </w14:textFill>
        </w:rPr>
        <w:t>限度样本封样与管理</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6.11.1在乙方交付产品的检验项目中，不能明确量化而需要用感官检查判断的检查项，双方协商后由乙方作限度样本封样，甲乙双方共同确认后进行签字认可。</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6.11.2限度样本封样由甲乙双方分别保管，在使用、保管时不能失去其特性。</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6.11.3根据具体情况规定限度样本封样的有效期限，甲乙双方共同按实际需要及时重新进行同步确认、更新或改变。任何的单方产生的变更将被视为无效变更。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6.12 对于在甲方处</w:t>
      </w:r>
      <w:r>
        <w:rPr>
          <w:rFonts w:hint="eastAsia" w:ascii="宋体" w:hAnsi="宋体" w:eastAsia="宋体" w:cs="宋体"/>
          <w:color w:val="000000" w:themeColor="text1"/>
          <w:sz w:val="24"/>
          <w:szCs w:val="24"/>
          <w14:textFill>
            <w14:solidFill>
              <w14:schemeClr w14:val="tx1"/>
            </w14:solidFill>
          </w14:textFill>
        </w:rPr>
        <w:t>已经被判定为不合格状态但不影响生产计划进度的乙方产品，乙方应在产品被通知为不合格状态后的</w:t>
      </w:r>
      <w:r>
        <w:rPr>
          <w:rFonts w:hint="eastAsia" w:ascii="宋体" w:hAnsi="宋体" w:eastAsia="宋体" w:cs="宋体"/>
          <w:color w:val="000000" w:themeColor="text1"/>
          <w:sz w:val="24"/>
          <w:szCs w:val="24"/>
          <w:highlight w:val="none"/>
          <w:lang w:val="en-US" w:eastAsia="zh-CN"/>
          <w14:textFill>
            <w14:solidFill>
              <w14:schemeClr w14:val="tx1"/>
            </w14:solidFill>
          </w14:textFill>
        </w:rPr>
        <w:t>15</w:t>
      </w:r>
      <w:r>
        <w:rPr>
          <w:rFonts w:ascii="宋体" w:hAnsi="宋体" w:eastAsia="宋体" w:cs="宋体"/>
          <w:color w:val="000000" w:themeColor="text1"/>
          <w:sz w:val="24"/>
          <w:szCs w:val="24"/>
          <w14:textFill>
            <w14:solidFill>
              <w14:schemeClr w14:val="tx1"/>
            </w14:solidFill>
          </w14:textFill>
        </w:rPr>
        <w:t>日内完成清退处理，超出期限的将按500元/天/批的标准进行处罚。</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售后质量管理</w:t>
      </w:r>
    </w:p>
    <w:p>
      <w:pPr>
        <w:spacing w:line="300" w:lineRule="auto"/>
        <w:ind w:firstLine="470" w:firstLineChars="196"/>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7.1 </w:t>
      </w:r>
      <w:r>
        <w:rPr>
          <w:rFonts w:hint="eastAsia" w:ascii="宋体" w:hAnsi="宋体" w:eastAsia="宋体" w:cs="宋体"/>
          <w:color w:val="000000" w:themeColor="text1"/>
          <w:sz w:val="24"/>
          <w:szCs w:val="24"/>
          <w14:textFill>
            <w14:solidFill>
              <w14:schemeClr w14:val="tx1"/>
            </w14:solidFill>
          </w14:textFill>
        </w:rPr>
        <w:t>当发生因乙方产品质量问题而引起甲方的市场投诉并造成损失或甲方重大质量事故时，</w:t>
      </w:r>
      <w:r>
        <w:rPr>
          <w:rFonts w:hint="eastAsia" w:ascii="宋体" w:hAnsi="宋体" w:eastAsia="宋体" w:cs="宋体"/>
          <w:color w:val="000000" w:themeColor="text1"/>
          <w:sz w:val="24"/>
          <w:szCs w:val="24"/>
          <w:lang w:val="en-US" w:eastAsia="zh-CN"/>
          <w14:textFill>
            <w14:solidFill>
              <w14:schemeClr w14:val="tx1"/>
            </w14:solidFill>
          </w14:textFill>
        </w:rPr>
        <w:t>乙方在接到甲方通知（包括书面或电话通知）后，应在8小时内给予明确答复，一般问题在2个工作日内解决，严重问题在5个工作日内解决，如果乙方延期解决问题，乙方应承担由于延期给甲方造成的损失，且甲方有权自行处理。无论采取何种整改或处置方案，乙方都需协助甲方实施整改，因整改和处置产生的相应费用均由乙方承担。</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7.2 </w:t>
      </w:r>
      <w:r>
        <w:rPr>
          <w:rFonts w:hint="eastAsia" w:ascii="宋体" w:hAnsi="宋体" w:eastAsia="宋体" w:cs="宋体"/>
          <w:color w:val="000000" w:themeColor="text1"/>
          <w:sz w:val="24"/>
          <w:szCs w:val="24"/>
          <w14:textFill>
            <w14:solidFill>
              <w14:schemeClr w14:val="tx1"/>
            </w14:solidFill>
          </w14:textFill>
        </w:rPr>
        <w:t>因乙方提供的产品质量问题，导致甲方的产品在甲方客户端出现生产停线、延期交付等后果，</w:t>
      </w:r>
      <w:r>
        <w:rPr>
          <w:rFonts w:hint="eastAsia" w:ascii="宋体" w:hAnsi="宋体" w:eastAsia="宋体" w:cs="宋体"/>
          <w:color w:val="000000" w:themeColor="text1"/>
          <w:sz w:val="24"/>
          <w:szCs w:val="24"/>
          <w:lang w:val="en-US" w:eastAsia="zh-CN"/>
          <w14:textFill>
            <w14:solidFill>
              <w14:schemeClr w14:val="tx1"/>
            </w14:solidFill>
          </w14:textFill>
        </w:rPr>
        <w:t>乙方在接到甲方通知（包括书面或电话通知）后，应在8小时内给予明确答复，一般问题在2个工作日内解决，严重问题在5个工作日内解决，如果乙方延期解决问题，乙方应承担由于延期给甲方造成的损失，且甲方有权自行处理。无论采取何种整改或处置方案，乙方都需协助甲方实施整改，因整改和处置产生的相应费用均由乙方承担。</w:t>
      </w:r>
      <w:r>
        <w:rPr>
          <w:rFonts w:hint="eastAsia" w:ascii="宋体" w:hAnsi="宋体" w:eastAsia="宋体" w:cs="宋体"/>
          <w:color w:val="000000" w:themeColor="text1"/>
          <w:sz w:val="24"/>
          <w:szCs w:val="24"/>
          <w14:textFill>
            <w14:solidFill>
              <w14:schemeClr w14:val="tx1"/>
            </w14:solidFill>
          </w14:textFill>
        </w:rPr>
        <w:t>如给甲方的经济及品牌造成损失的，乙方承担因此产生的全部直接及间接损失。</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 对于乙方出现以下3种情况，乙方除承担给甲方造成的直接损失和间接损失外，甲方有权给予乙方 5万-50万元处罚，情节严重者，甲方可暂停或取消乙方供货资格。</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7.3.1 乙方存在假冒伪劣、偷工减料、弄虚作假、以次充好、缺斤短两等舞弊行为的。</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7.3.2 乙方没有经甲方确认而擅自自行更改乙方产品的工艺、原材料及其等级或结构的。</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7.3.3 乙方没有按照双方约定的质量管理规定或技术要求履行送检义务的或在送检过程中有欺骗行为的。</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变更管理</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 设计、制造、检验条件变更的联络</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在产品交付过程做出任何有可能影响到交付产品质量的计划性变动以前，应征得甲方的批准。因甲方发起的涉及乙方交付产品的变更，需乙方在接到变更需求后，当日内向甲方进行正式邮件形式报备（包含但不限于乙方的发起部门和对接人、变更原因、具体变更内容、导入时间和方式等）。特别是乙方准备在下列项目变更时，应提前45日将相应变更的情况以书面报告形式提交甲方进行评审，在获得甲方的正式通知认可的邮件或报告后（甲乙任何一方发起的变更皆需要），启动向甲方所交付产品的实质变更，并按要求做好相应产品外观标识。</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8.1.1设计变更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给甲方交货开始后，产品设计变更（含材料变更）时。</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8.1.2新造、更新模具</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制造产品新造模具时，或使用中改造模具时。</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8.1.3材料变更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原材料的制造商和供应商有变更（原材料质量等级不可变更）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8.1.4制造工艺、检验方法与标准变更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产品制造工艺（工程、加工、作业和检查的方法、使用的制造和检验设备等）发生变更时。</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8.1.5制造场所、乙方外协厂变更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制造产品的乙方工厂或乙方外协厂变更时（更新外购件时、或加工过程从外协厂转回乙方工厂时）。</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8.1.6 关键岗位操作人员变更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甲方在C样现场评审阶段，对乙方的产品加工过程提前识别并提出要求的关键岗位操作人员。</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8.1.7 乙方产品质量保障的质量负责人变更。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 变更的认可</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甲乙双方由于自身原因有必要对产品实施上述变更时，应立即书面</w:t>
      </w:r>
      <w:r>
        <w:rPr>
          <w:rFonts w:hint="eastAsia" w:ascii="宋体" w:hAnsi="宋体" w:cs="宋体"/>
          <w:color w:val="000000" w:themeColor="text1"/>
          <w:sz w:val="24"/>
          <w:lang w:val="en-US" w:eastAsia="zh-CN"/>
          <w14:textFill>
            <w14:solidFill>
              <w14:schemeClr w14:val="tx1"/>
            </w14:solidFill>
          </w14:textFill>
        </w:rPr>
        <w:t>或邮件</w:t>
      </w:r>
      <w:r>
        <w:rPr>
          <w:rFonts w:hint="eastAsia" w:ascii="宋体" w:hAnsi="宋体" w:cs="宋体"/>
          <w:color w:val="000000" w:themeColor="text1"/>
          <w:sz w:val="24"/>
          <w14:textFill>
            <w14:solidFill>
              <w14:schemeClr w14:val="tx1"/>
            </w14:solidFill>
          </w14:textFill>
        </w:rPr>
        <w:t>通知对方</w:t>
      </w:r>
      <w:r>
        <w:rPr>
          <w:rFonts w:hint="eastAsia" w:ascii="宋体" w:hAnsi="宋体" w:cs="宋体"/>
          <w:color w:val="000000" w:themeColor="text1"/>
          <w:sz w:val="24"/>
          <w:lang w:val="en-US" w:eastAsia="zh-CN"/>
          <w14:textFill>
            <w14:solidFill>
              <w14:schemeClr w14:val="tx1"/>
            </w14:solidFill>
          </w14:textFill>
        </w:rPr>
        <w:t>的工作联络人，双方内部均要做好变更相关信息的传递</w:t>
      </w:r>
      <w:r>
        <w:rPr>
          <w:rFonts w:hint="eastAsia" w:ascii="宋体" w:hAnsi="宋体" w:cs="宋体"/>
          <w:color w:val="000000" w:themeColor="text1"/>
          <w:sz w:val="24"/>
          <w14:textFill>
            <w14:solidFill>
              <w14:schemeClr w14:val="tx1"/>
            </w14:solidFill>
          </w14:textFill>
        </w:rPr>
        <w:t>，双方在保障乙方所交付产品质量水平不受影响的基础上协商实行变更。</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 变更的记录与样品测试</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对交付给甲方产品所做的改动，任何情况下都要取得变更认可证明并做好变更记录文件管理，并在每次变更时向甲方提交一份；本协议约定或甲方要求的，还须向甲方提供双方协定数量的变更产品的免费测试样品，由甲方验证认可后，乙方才能启动交付更改后的变更产品；如果样品没有得到甲方认可，乙方仍需按原生产条件提供产品。</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对于乙方未按上述本条款要求，在交付的产品到货前进行变更申请并获得甲方正式认可的，均将被视为“私自变更”。乙方除承担由此造成的全部损失外，同意接受甲方按“私自变更”执行的质量处罚</w:t>
      </w:r>
      <w:r>
        <w:rPr>
          <w:rFonts w:hint="eastAsia" w:ascii="宋体" w:hAnsi="宋体" w:cs="宋体"/>
          <w:color w:val="000000" w:themeColor="text1"/>
          <w:sz w:val="24"/>
          <w:lang w:val="en-US" w:eastAsia="zh-CN"/>
          <w14:textFill>
            <w14:solidFill>
              <w14:schemeClr w14:val="tx1"/>
            </w14:solidFill>
          </w14:textFill>
        </w:rPr>
        <w:t>5万元/次。</w:t>
      </w:r>
    </w:p>
    <w:p>
      <w:pPr>
        <w:pStyle w:val="16"/>
        <w:numPr>
          <w:ilvl w:val="0"/>
          <w:numId w:val="1"/>
        </w:numPr>
        <w:ind w:firstLineChars="0"/>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质量处罚与损失赔偿</w:t>
      </w:r>
    </w:p>
    <w:p>
      <w:pPr>
        <w:spacing w:line="44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9</w:t>
      </w:r>
      <w:r>
        <w:rPr>
          <w:rFonts w:ascii="宋体" w:hAnsi="宋体" w:eastAsia="宋体"/>
          <w:color w:val="000000" w:themeColor="text1"/>
          <w:sz w:val="24"/>
          <w:szCs w:val="24"/>
          <w14:textFill>
            <w14:solidFill>
              <w14:schemeClr w14:val="tx1"/>
            </w14:solidFill>
          </w14:textFill>
        </w:rPr>
        <w:t xml:space="preserve">.1 </w:t>
      </w:r>
      <w:r>
        <w:rPr>
          <w:rFonts w:hint="eastAsia" w:ascii="宋体" w:hAnsi="宋体" w:eastAsia="宋体"/>
          <w:color w:val="000000" w:themeColor="text1"/>
          <w:sz w:val="24"/>
          <w:szCs w:val="24"/>
          <w14:textFill>
            <w14:solidFill>
              <w14:schemeClr w14:val="tx1"/>
            </w14:solidFill>
          </w14:textFill>
        </w:rPr>
        <w:t>考核标准</w:t>
      </w:r>
    </w:p>
    <w:p>
      <w:pPr>
        <w:spacing w:line="44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drawing>
          <wp:anchor distT="0" distB="0" distL="114300" distR="114300" simplePos="0" relativeHeight="251659264" behindDoc="0" locked="0" layoutInCell="1" allowOverlap="1">
            <wp:simplePos x="0" y="0"/>
            <wp:positionH relativeFrom="column">
              <wp:posOffset>-5715</wp:posOffset>
            </wp:positionH>
            <wp:positionV relativeFrom="paragraph">
              <wp:posOffset>334645</wp:posOffset>
            </wp:positionV>
            <wp:extent cx="5579110" cy="3357245"/>
            <wp:effectExtent l="0" t="0" r="2540" b="14605"/>
            <wp:wrapNone/>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pic:cNvPicPr>
                      <a:picLocks noChangeAspect="1"/>
                    </pic:cNvPicPr>
                  </pic:nvPicPr>
                  <pic:blipFill>
                    <a:blip r:embed="rId8"/>
                    <a:stretch>
                      <a:fillRect/>
                    </a:stretch>
                  </pic:blipFill>
                  <pic:spPr>
                    <a:xfrm>
                      <a:off x="0" y="0"/>
                      <a:ext cx="5579110" cy="3357245"/>
                    </a:xfrm>
                    <a:prstGeom prst="rect">
                      <a:avLst/>
                    </a:prstGeom>
                    <a:noFill/>
                    <a:ln>
                      <a:noFill/>
                    </a:ln>
                  </pic:spPr>
                </pic:pic>
              </a:graphicData>
            </a:graphic>
          </wp:anchor>
        </w:drawing>
      </w:r>
      <w:r>
        <w:rPr>
          <w:rFonts w:ascii="宋体" w:hAnsi="宋体" w:eastAsia="宋体"/>
          <w:color w:val="000000" w:themeColor="text1"/>
          <w:sz w:val="24"/>
          <w:szCs w:val="24"/>
          <w14:textFill>
            <w14:solidFill>
              <w14:schemeClr w14:val="tx1"/>
            </w14:solidFill>
          </w14:textFill>
        </w:rPr>
        <w:t>9.1.1</w:t>
      </w:r>
      <w:r>
        <w:rPr>
          <w:rFonts w:hint="eastAsia" w:ascii="宋体" w:hAnsi="宋体" w:eastAsia="宋体"/>
          <w:color w:val="000000" w:themeColor="text1"/>
          <w:sz w:val="24"/>
          <w:szCs w:val="24"/>
          <w14:textFill>
            <w14:solidFill>
              <w14:schemeClr w14:val="tx1"/>
            </w14:solidFill>
          </w14:textFill>
        </w:rPr>
        <w:t>潜在供应商阶段考核标准：</w:t>
      </w: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300" w:lineRule="auto"/>
        <w:rPr>
          <w:rFonts w:ascii="宋体" w:hAnsi="宋体" w:cs="宋体"/>
          <w:color w:val="000000" w:themeColor="text1"/>
          <w:sz w:val="24"/>
          <w14:textFill>
            <w14:solidFill>
              <w14:schemeClr w14:val="tx1"/>
            </w14:solidFill>
          </w14:textFill>
        </w:rPr>
      </w:pPr>
    </w:p>
    <w:p>
      <w:pPr>
        <w:spacing w:line="440" w:lineRule="exact"/>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9.1.2</w:t>
      </w:r>
      <w:r>
        <w:rPr>
          <w:rFonts w:hint="eastAsia" w:ascii="宋体" w:hAnsi="宋体" w:eastAsia="宋体"/>
          <w:color w:val="000000" w:themeColor="text1"/>
          <w:sz w:val="24"/>
          <w:szCs w:val="24"/>
          <w14:textFill>
            <w14:solidFill>
              <w14:schemeClr w14:val="tx1"/>
            </w14:solidFill>
          </w14:textFill>
        </w:rPr>
        <w:t>测评供应商即时考核标准：</w:t>
      </w:r>
    </w:p>
    <w:p>
      <w:pPr>
        <w:spacing w:line="440" w:lineRule="exact"/>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由项目经理负责，发起项目执行过程中涉及材料问题的厂商评价。对于确定责任在厂商的问题，输出厂商处置建议。项目经理将评价资料和结论交SQE，由SQE负责承办后续考核的具体执行。</w:t>
      </w:r>
    </w:p>
    <w:tbl>
      <w:tblPr>
        <w:tblStyle w:val="9"/>
        <w:tblW w:w="88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02"/>
        <w:gridCol w:w="2835"/>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02" w:type="dxa"/>
            <w:vAlign w:val="center"/>
          </w:tcPr>
          <w:p>
            <w:pPr>
              <w:spacing w:line="440" w:lineRule="exact"/>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否决项</w:t>
            </w:r>
          </w:p>
        </w:tc>
        <w:tc>
          <w:tcPr>
            <w:tcW w:w="2835" w:type="dxa"/>
          </w:tcPr>
          <w:p>
            <w:pPr>
              <w:spacing w:line="44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弄虚作假，提供虚假数据或证明资料</w:t>
            </w:r>
          </w:p>
        </w:tc>
        <w:tc>
          <w:tcPr>
            <w:tcW w:w="3260" w:type="dxa"/>
          </w:tcPr>
          <w:p>
            <w:pPr>
              <w:spacing w:line="44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终止合作，并承担相应责任的全部损失赔偿与处罚</w:t>
            </w:r>
          </w:p>
        </w:tc>
      </w:tr>
    </w:tbl>
    <w:p>
      <w:pPr>
        <w:spacing w:line="300" w:lineRule="auto"/>
        <w:rPr>
          <w:rFonts w:ascii="宋体" w:hAnsi="宋体" w:cs="宋体"/>
          <w:color w:val="000000" w:themeColor="text1"/>
          <w:sz w:val="24"/>
          <w14:textFill>
            <w14:solidFill>
              <w14:schemeClr w14:val="tx1"/>
            </w14:solidFill>
          </w14:textFill>
        </w:rPr>
      </w:pPr>
    </w:p>
    <w:p>
      <w:pPr>
        <w:spacing w:line="440" w:lineRule="exact"/>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9.1.3</w:t>
      </w:r>
      <w:r>
        <w:rPr>
          <w:rFonts w:hint="eastAsia" w:ascii="宋体" w:hAnsi="宋体" w:eastAsia="宋体"/>
          <w:color w:val="000000" w:themeColor="text1"/>
          <w:sz w:val="24"/>
          <w:szCs w:val="24"/>
          <w14:textFill>
            <w14:solidFill>
              <w14:schemeClr w14:val="tx1"/>
            </w14:solidFill>
          </w14:textFill>
        </w:rPr>
        <w:t>合格供应商即时考核标准：</w:t>
      </w:r>
    </w:p>
    <w:p>
      <w:pPr>
        <w:spacing w:line="440" w:lineRule="exac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（新材料交付，按时间划分的第</w:t>
      </w:r>
      <w:r>
        <w:rPr>
          <w:rFonts w:ascii="宋体" w:hAnsi="宋体" w:eastAsia="宋体"/>
          <w:b/>
          <w:color w:val="000000" w:themeColor="text1"/>
          <w:szCs w:val="21"/>
          <w14:textFill>
            <w14:solidFill>
              <w14:schemeClr w14:val="tx1"/>
            </w14:solidFill>
          </w14:textFill>
        </w:rPr>
        <w:t>1批</w:t>
      </w:r>
      <w:r>
        <w:rPr>
          <w:rFonts w:hint="eastAsia" w:ascii="宋体" w:hAnsi="宋体" w:eastAsia="宋体"/>
          <w:b/>
          <w:color w:val="000000" w:themeColor="text1"/>
          <w:szCs w:val="21"/>
          <w14:textFill>
            <w14:solidFill>
              <w14:schemeClr w14:val="tx1"/>
            </w14:solidFill>
          </w14:textFill>
        </w:rPr>
        <w:t>为双方对标产品批，不计入考核）：</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6"/>
        <w:gridCol w:w="1276"/>
        <w:gridCol w:w="2835"/>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项目</w:t>
            </w:r>
          </w:p>
        </w:tc>
        <w:tc>
          <w:tcPr>
            <w:tcW w:w="12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负责岗位</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考核标准</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奖惩措施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物料不良</w:t>
            </w:r>
          </w:p>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（经分析确认为来料原因）</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SQE</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进料检验识别到的非功能类、不影响使用的</w:t>
            </w:r>
            <w:r>
              <w:rPr>
                <w:rFonts w:hint="eastAsia" w:ascii="宋体" w:hAnsi="宋体" w:eastAsia="宋体"/>
                <w:b/>
                <w:color w:val="000000" w:themeColor="text1"/>
                <w:szCs w:val="21"/>
                <w14:textFill>
                  <w14:solidFill>
                    <w14:schemeClr w14:val="tx1"/>
                  </w14:solidFill>
                </w14:textFill>
              </w:rPr>
              <w:t>外观单次偶发缺陷</w:t>
            </w:r>
            <w:r>
              <w:rPr>
                <w:rFonts w:hint="eastAsia" w:ascii="宋体" w:hAnsi="宋体" w:eastAsia="宋体"/>
                <w:color w:val="000000" w:themeColor="text1"/>
                <w:szCs w:val="21"/>
                <w14:textFill>
                  <w14:solidFill>
                    <w14:schemeClr w14:val="tx1"/>
                  </w14:solidFill>
                </w14:textFill>
              </w:rPr>
              <w:t>（含厂商使用了未经核实的技术图纸或标准，造成到料检验不良）</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月度偶发情况，根据质量部认定结论提供</w:t>
            </w:r>
            <w:r>
              <w:rPr>
                <w:rFonts w:ascii="宋体" w:hAnsi="宋体" w:eastAsia="宋体"/>
                <w:color w:val="000000" w:themeColor="text1"/>
                <w:sz w:val="18"/>
                <w:szCs w:val="18"/>
                <w14:textFill>
                  <w14:solidFill>
                    <w14:schemeClr w14:val="tx1"/>
                  </w14:solidFill>
                </w14:textFill>
              </w:rPr>
              <w:t>8D分析改进报告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进料检验识别到的非功能类、不影响使用的</w:t>
            </w:r>
            <w:r>
              <w:rPr>
                <w:rFonts w:hint="eastAsia" w:ascii="宋体" w:hAnsi="宋体" w:eastAsia="宋体"/>
                <w:b/>
                <w:color w:val="000000" w:themeColor="text1"/>
                <w:szCs w:val="21"/>
                <w14:textFill>
                  <w14:solidFill>
                    <w14:schemeClr w14:val="tx1"/>
                  </w14:solidFill>
                </w14:textFill>
              </w:rPr>
              <w:t>外观类批量缺陷</w:t>
            </w:r>
            <w:r>
              <w:rPr>
                <w:rFonts w:hint="eastAsia" w:ascii="宋体" w:hAnsi="宋体" w:eastAsia="宋体"/>
                <w:color w:val="000000" w:themeColor="text1"/>
                <w:szCs w:val="21"/>
                <w14:textFill>
                  <w14:solidFill>
                    <w14:schemeClr w14:val="tx1"/>
                  </w14:solidFill>
                </w14:textFill>
              </w:rPr>
              <w:t>（不良率大于</w:t>
            </w:r>
            <w:r>
              <w:rPr>
                <w:rFonts w:ascii="宋体" w:hAnsi="宋体" w:eastAsia="宋体"/>
                <w:color w:val="000000" w:themeColor="text1"/>
                <w:szCs w:val="21"/>
                <w14:textFill>
                  <w14:solidFill>
                    <w14:schemeClr w14:val="tx1"/>
                  </w14:solidFill>
                </w14:textFill>
              </w:rPr>
              <w:t>10%），或同一不良现象频繁发生无改善效果（月度累计2次以上的）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w:t>
            </w:r>
            <w:r>
              <w:rPr>
                <w:rFonts w:ascii="宋体" w:hAnsi="宋体" w:eastAsia="宋体"/>
                <w:color w:val="000000" w:themeColor="text1"/>
                <w:sz w:val="18"/>
                <w:szCs w:val="18"/>
                <w14:textFill>
                  <w14:solidFill>
                    <w14:schemeClr w14:val="tx1"/>
                  </w14:solidFill>
                </w14:textFill>
              </w:rPr>
              <w:t>2000~5000元/次处罚</w:t>
            </w:r>
            <w:r>
              <w:rPr>
                <w:rFonts w:hint="eastAsia" w:ascii="宋体" w:hAnsi="宋体" w:eastAsia="宋体"/>
                <w:color w:val="000000" w:themeColor="text1"/>
                <w:sz w:val="18"/>
                <w:szCs w:val="18"/>
                <w14:textFill>
                  <w14:solidFill>
                    <w14:schemeClr w14:val="tx1"/>
                  </w14:solidFill>
                </w14:textFill>
              </w:rPr>
              <w:t>，并整理分析改进报告进行专题汇报；</w:t>
            </w:r>
            <w:r>
              <w:rPr>
                <w:rFonts w:ascii="宋体" w:hAnsi="宋体" w:eastAsia="宋体"/>
                <w:color w:val="000000" w:themeColor="text1"/>
                <w:sz w:val="18"/>
                <w:szCs w:val="18"/>
                <w14:textFill>
                  <w14:solidFill>
                    <w14:schemeClr w14:val="tx1"/>
                  </w14:solidFill>
                </w14:textFill>
              </w:rPr>
              <w:t>SQE派驻厂商现场督促改进；改善后再次交付仍未解决问题的，</w:t>
            </w:r>
            <w:r>
              <w:rPr>
                <w:rFonts w:hint="eastAsia" w:ascii="宋体" w:hAnsi="宋体" w:eastAsia="宋体"/>
                <w:color w:val="000000" w:themeColor="text1"/>
                <w:sz w:val="18"/>
                <w:szCs w:val="18"/>
                <w14:textFill>
                  <w14:solidFill>
                    <w14:schemeClr w14:val="tx1"/>
                  </w14:solidFill>
                </w14:textFill>
              </w:rPr>
              <w:t>启动采购限制供货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进料检验</w:t>
            </w:r>
            <w:r>
              <w:rPr>
                <w:rFonts w:hint="eastAsia" w:ascii="宋体" w:hAnsi="宋体" w:eastAsia="宋体"/>
                <w:b/>
                <w:color w:val="000000" w:themeColor="text1"/>
                <w:szCs w:val="21"/>
                <w14:textFill>
                  <w14:solidFill>
                    <w14:schemeClr w14:val="tx1"/>
                  </w14:solidFill>
                </w14:textFill>
              </w:rPr>
              <w:t>功能性和影响使用的尺寸性偶发缺陷</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月度偶发情况，根据质量部认定结论整理</w:t>
            </w:r>
            <w:r>
              <w:rPr>
                <w:rFonts w:ascii="宋体" w:hAnsi="宋体" w:eastAsia="宋体"/>
                <w:color w:val="000000" w:themeColor="text1"/>
                <w:sz w:val="18"/>
                <w:szCs w:val="18"/>
                <w14:textFill>
                  <w14:solidFill>
                    <w14:schemeClr w14:val="tx1"/>
                  </w14:solidFill>
                </w14:textFill>
              </w:rPr>
              <w:t>8D分析改进报告，SQE现场核查原因与改进措施落实</w:t>
            </w:r>
            <w:r>
              <w:rPr>
                <w:rFonts w:hint="eastAsia" w:ascii="宋体" w:hAnsi="宋体" w:eastAsia="宋体"/>
                <w:color w:val="000000" w:themeColor="text1"/>
                <w:sz w:val="18"/>
                <w:szCs w:val="18"/>
                <w14:textFill>
                  <w14:solidFill>
                    <w14:schemeClr w14:val="tx1"/>
                  </w14:solidFill>
                </w14:textFill>
              </w:rPr>
              <w:t>，未能有效改善再次发生的，视情况报请暂停供货。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进料检验</w:t>
            </w:r>
            <w:r>
              <w:rPr>
                <w:rFonts w:hint="eastAsia" w:ascii="宋体" w:hAnsi="宋体" w:eastAsia="宋体"/>
                <w:b/>
                <w:color w:val="000000" w:themeColor="text1"/>
                <w:szCs w:val="21"/>
                <w14:textFill>
                  <w14:solidFill>
                    <w14:schemeClr w14:val="tx1"/>
                  </w14:solidFill>
                </w14:textFill>
              </w:rPr>
              <w:t>功能性、影响使用的尺寸性批量缺陷</w:t>
            </w:r>
            <w:r>
              <w:rPr>
                <w:rFonts w:hint="eastAsia" w:ascii="宋体" w:hAnsi="宋体" w:eastAsia="宋体"/>
                <w:color w:val="000000" w:themeColor="text1"/>
                <w:szCs w:val="21"/>
                <w14:textFill>
                  <w14:solidFill>
                    <w14:schemeClr w14:val="tx1"/>
                  </w14:solidFill>
                </w14:textFill>
              </w:rPr>
              <w:t>（不良率大于</w:t>
            </w:r>
            <w:r>
              <w:rPr>
                <w:rFonts w:ascii="宋体" w:hAnsi="宋体" w:eastAsia="宋体"/>
                <w:color w:val="000000" w:themeColor="text1"/>
                <w:szCs w:val="21"/>
                <w14:textFill>
                  <w14:solidFill>
                    <w14:schemeClr w14:val="tx1"/>
                  </w14:solidFill>
                </w14:textFill>
              </w:rPr>
              <w:t>5%），或同一不良现象频繁发生无改善效果（一个月周期内累计2次以上）</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w:t>
            </w:r>
            <w:r>
              <w:rPr>
                <w:rFonts w:ascii="宋体" w:hAnsi="宋体" w:eastAsia="宋体"/>
                <w:color w:val="000000" w:themeColor="text1"/>
                <w:sz w:val="18"/>
                <w:szCs w:val="18"/>
                <w14:textFill>
                  <w14:solidFill>
                    <w14:schemeClr w14:val="tx1"/>
                  </w14:solidFill>
                </w14:textFill>
              </w:rPr>
              <w:t>5000~10000元处罚，</w:t>
            </w:r>
            <w:r>
              <w:rPr>
                <w:rFonts w:hint="eastAsia" w:ascii="宋体" w:hAnsi="宋体" w:eastAsia="宋体"/>
                <w:color w:val="000000" w:themeColor="text1"/>
                <w:sz w:val="18"/>
                <w:szCs w:val="18"/>
                <w14:textFill>
                  <w14:solidFill>
                    <w14:schemeClr w14:val="tx1"/>
                  </w14:solidFill>
                </w14:textFill>
              </w:rPr>
              <w:t>并整理分析改进报告，到盟固利现场汇报分析改进；</w:t>
            </w:r>
            <w:r>
              <w:rPr>
                <w:rFonts w:ascii="宋体" w:hAnsi="宋体" w:eastAsia="宋体"/>
                <w:color w:val="000000" w:themeColor="text1"/>
                <w:sz w:val="18"/>
                <w:szCs w:val="18"/>
                <w14:textFill>
                  <w14:solidFill>
                    <w14:schemeClr w14:val="tx1"/>
                  </w14:solidFill>
                </w14:textFill>
              </w:rPr>
              <w:t>SQE派驻厂商现场督促改进；改善后再次交付仍未解决问题的，视情况报请</w:t>
            </w:r>
            <w:r>
              <w:rPr>
                <w:rFonts w:hint="eastAsia" w:ascii="宋体" w:hAnsi="宋体" w:eastAsia="宋体"/>
                <w:color w:val="000000" w:themeColor="text1"/>
                <w:sz w:val="18"/>
                <w:szCs w:val="18"/>
                <w14:textFill>
                  <w14:solidFill>
                    <w14:schemeClr w14:val="tx1"/>
                  </w14:solidFill>
                </w14:textFill>
              </w:rPr>
              <w:t>取消供货资格。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物料外观类不影响生产的问题</w:t>
            </w:r>
            <w:r>
              <w:rPr>
                <w:rFonts w:ascii="宋体" w:hAnsi="宋体" w:eastAsia="宋体"/>
                <w:color w:val="000000" w:themeColor="text1"/>
                <w:szCs w:val="21"/>
                <w14:textFill>
                  <w14:solidFill>
                    <w14:schemeClr w14:val="tx1"/>
                  </w14:solidFill>
                </w14:textFill>
              </w:rPr>
              <w:t>,申请一次</w:t>
            </w:r>
            <w:r>
              <w:rPr>
                <w:rFonts w:hint="eastAsia" w:ascii="宋体" w:hAnsi="宋体" w:eastAsia="宋体"/>
                <w:color w:val="000000" w:themeColor="text1"/>
                <w:szCs w:val="21"/>
                <w14:textFill>
                  <w14:solidFill>
                    <w14:schemeClr w14:val="tx1"/>
                  </w14:solidFill>
                </w14:textFill>
              </w:rPr>
              <w:t>特采使用后，再次出现同样原因问题的。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承担因异常造成盟固利的全部直接和间接损失，并额外处以每次</w:t>
            </w:r>
            <w:r>
              <w:rPr>
                <w:rFonts w:ascii="宋体" w:hAnsi="宋体" w:eastAsia="宋体"/>
                <w:color w:val="000000" w:themeColor="text1"/>
                <w:sz w:val="18"/>
                <w:szCs w:val="18"/>
                <w14:textFill>
                  <w14:solidFill>
                    <w14:schemeClr w14:val="tx1"/>
                  </w14:solidFill>
                </w14:textFill>
              </w:rPr>
              <w:t>500~1000元</w:t>
            </w:r>
            <w:r>
              <w:rPr>
                <w:rFonts w:hint="eastAsia" w:ascii="宋体" w:hAnsi="宋体" w:eastAsia="宋体"/>
                <w:color w:val="000000" w:themeColor="text1"/>
                <w:sz w:val="18"/>
                <w:szCs w:val="18"/>
                <w14:textFill>
                  <w14:solidFill>
                    <w14:schemeClr w14:val="tx1"/>
                  </w14:solidFill>
                </w14:textFill>
              </w:rPr>
              <w:t>的材料特采处罚，回复</w:t>
            </w:r>
            <w:r>
              <w:rPr>
                <w:rFonts w:ascii="宋体" w:hAnsi="宋体" w:eastAsia="宋体"/>
                <w:color w:val="000000" w:themeColor="text1"/>
                <w:sz w:val="18"/>
                <w:szCs w:val="18"/>
                <w14:textFill>
                  <w14:solidFill>
                    <w14:schemeClr w14:val="tx1"/>
                  </w14:solidFill>
                </w14:textFill>
              </w:rPr>
              <w:t>8D分析改善报告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影响常规生产，需特殊处置或配合的物料问题，申请一次特采使用后，再次出现的。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承担因异常造成盟固利的全部直接和间接损失，并额外处以每次</w:t>
            </w:r>
            <w:r>
              <w:rPr>
                <w:rFonts w:ascii="宋体" w:hAnsi="宋体" w:eastAsia="宋体"/>
                <w:color w:val="000000" w:themeColor="text1"/>
                <w:sz w:val="18"/>
                <w:szCs w:val="18"/>
                <w14:textFill>
                  <w14:solidFill>
                    <w14:schemeClr w14:val="tx1"/>
                  </w14:solidFill>
                </w14:textFill>
              </w:rPr>
              <w:t>1000~3000元的</w:t>
            </w:r>
            <w:r>
              <w:rPr>
                <w:rFonts w:hint="eastAsia" w:ascii="宋体" w:hAnsi="宋体" w:eastAsia="宋体"/>
                <w:color w:val="000000" w:themeColor="text1"/>
                <w:sz w:val="18"/>
                <w:szCs w:val="18"/>
                <w14:textFill>
                  <w14:solidFill>
                    <w14:schemeClr w14:val="tx1"/>
                  </w14:solidFill>
                </w14:textFill>
              </w:rPr>
              <w:t>材料特采处罚；回复</w:t>
            </w:r>
            <w:r>
              <w:rPr>
                <w:rFonts w:ascii="宋体" w:hAnsi="宋体" w:eastAsia="宋体"/>
                <w:color w:val="000000" w:themeColor="text1"/>
                <w:sz w:val="18"/>
                <w:szCs w:val="18"/>
                <w14:textFill>
                  <w14:solidFill>
                    <w14:schemeClr w14:val="tx1"/>
                  </w14:solidFill>
                </w14:textFill>
              </w:rPr>
              <w:t>8D分析改善报告；SQE派驻厂商现场督促改进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上线生产使用过程出现的批量材料不良（大于</w:t>
            </w:r>
            <w:r>
              <w:rPr>
                <w:rFonts w:ascii="宋体" w:hAnsi="宋体" w:eastAsia="宋体"/>
                <w:color w:val="000000" w:themeColor="text1"/>
                <w:szCs w:val="21"/>
                <w14:textFill>
                  <w14:solidFill>
                    <w14:schemeClr w14:val="tx1"/>
                  </w14:solidFill>
                </w14:textFill>
              </w:rPr>
              <w:t>10%）或同一现象不良频繁发生（大于2次）</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承担因异常造成盟固利的全部直接和间接损失，并额外处以一次性</w:t>
            </w:r>
            <w:r>
              <w:rPr>
                <w:rFonts w:ascii="宋体" w:hAnsi="宋体" w:eastAsia="宋体"/>
                <w:color w:val="000000" w:themeColor="text1"/>
                <w:sz w:val="18"/>
                <w:szCs w:val="18"/>
                <w14:textFill>
                  <w14:solidFill>
                    <w14:schemeClr w14:val="tx1"/>
                  </w14:solidFill>
                </w14:textFill>
              </w:rPr>
              <w:t>3000~5000元处罚</w:t>
            </w:r>
            <w:r>
              <w:rPr>
                <w:rFonts w:hint="eastAsia" w:ascii="宋体" w:hAnsi="宋体" w:eastAsia="宋体"/>
                <w:color w:val="000000" w:themeColor="text1"/>
                <w:sz w:val="18"/>
                <w:szCs w:val="18"/>
                <w14:textFill>
                  <w14:solidFill>
                    <w14:schemeClr w14:val="tx1"/>
                  </w14:solidFill>
                </w14:textFill>
              </w:rPr>
              <w:t>或对应物料批次采购订单总金额</w:t>
            </w:r>
            <w:r>
              <w:rPr>
                <w:rFonts w:ascii="宋体" w:hAnsi="宋体" w:eastAsia="宋体"/>
                <w:color w:val="000000" w:themeColor="text1"/>
                <w:sz w:val="18"/>
                <w:szCs w:val="18"/>
                <w14:textFill>
                  <w14:solidFill>
                    <w14:schemeClr w14:val="tx1"/>
                  </w14:solidFill>
                </w14:textFill>
              </w:rPr>
              <w:t>3~5%处罚</w:t>
            </w:r>
            <w:r>
              <w:rPr>
                <w:rFonts w:hint="eastAsia" w:ascii="宋体" w:hAnsi="宋体" w:eastAsia="宋体"/>
                <w:color w:val="000000" w:themeColor="text1"/>
                <w:sz w:val="18"/>
                <w:szCs w:val="18"/>
                <w14:textFill>
                  <w14:solidFill>
                    <w14:schemeClr w14:val="tx1"/>
                  </w14:solidFill>
                </w14:textFill>
              </w:rPr>
              <w:t>；整理</w:t>
            </w:r>
            <w:r>
              <w:rPr>
                <w:rFonts w:ascii="宋体" w:hAnsi="宋体" w:eastAsia="宋体"/>
                <w:color w:val="000000" w:themeColor="text1"/>
                <w:sz w:val="18"/>
                <w:szCs w:val="18"/>
                <w14:textFill>
                  <w14:solidFill>
                    <w14:schemeClr w14:val="tx1"/>
                  </w14:solidFill>
                </w14:textFill>
              </w:rPr>
              <w:t>8D</w:t>
            </w:r>
            <w:r>
              <w:rPr>
                <w:rFonts w:hint="eastAsia" w:ascii="宋体" w:hAnsi="宋体" w:eastAsia="宋体"/>
                <w:color w:val="000000" w:themeColor="text1"/>
                <w:sz w:val="18"/>
                <w:szCs w:val="18"/>
                <w14:textFill>
                  <w14:solidFill>
                    <w14:schemeClr w14:val="tx1"/>
                  </w14:solidFill>
                </w14:textFill>
              </w:rPr>
              <w:t>分析改善资料由质量负责人到盟固利现场报告，</w:t>
            </w:r>
            <w:r>
              <w:rPr>
                <w:rFonts w:ascii="宋体" w:hAnsi="宋体" w:eastAsia="宋体"/>
                <w:color w:val="000000" w:themeColor="text1"/>
                <w:sz w:val="18"/>
                <w:szCs w:val="18"/>
                <w14:textFill>
                  <w14:solidFill>
                    <w14:schemeClr w14:val="tx1"/>
                  </w14:solidFill>
                </w14:textFill>
              </w:rPr>
              <w:t>SQE派驻厂商现场督促改进；视情况报请</w:t>
            </w:r>
            <w:r>
              <w:rPr>
                <w:rFonts w:hint="eastAsia" w:ascii="宋体" w:hAnsi="宋体" w:eastAsia="宋体"/>
                <w:color w:val="000000" w:themeColor="text1"/>
                <w:sz w:val="18"/>
                <w:szCs w:val="18"/>
                <w14:textFill>
                  <w14:solidFill>
                    <w14:schemeClr w14:val="tx1"/>
                  </w14:solidFill>
                </w14:textFill>
              </w:rPr>
              <w:t>暂停或取消供货资格。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售后市场出现的个例不良</w:t>
            </w:r>
          </w:p>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（确定为材料原因的）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承担因异常造成盟固利全部直接和间接损失额度的</w:t>
            </w:r>
            <w:r>
              <w:rPr>
                <w:rFonts w:ascii="宋体" w:hAnsi="宋体" w:eastAsia="宋体"/>
                <w:b/>
                <w:color w:val="000000" w:themeColor="text1"/>
                <w:sz w:val="18"/>
                <w:szCs w:val="18"/>
                <w14:textFill>
                  <w14:solidFill>
                    <w14:schemeClr w14:val="tx1"/>
                  </w14:solidFill>
                </w14:textFill>
              </w:rPr>
              <w:t>1.5倍；</w:t>
            </w:r>
            <w:r>
              <w:rPr>
                <w:rFonts w:hint="eastAsia" w:ascii="宋体" w:hAnsi="宋体" w:eastAsia="宋体"/>
                <w:color w:val="000000" w:themeColor="text1"/>
                <w:sz w:val="18"/>
                <w:szCs w:val="18"/>
                <w14:textFill>
                  <w14:solidFill>
                    <w14:schemeClr w14:val="tx1"/>
                  </w14:solidFill>
                </w14:textFill>
              </w:rPr>
              <w:t>处以对应物料批次采购订单总金额</w:t>
            </w:r>
            <w:r>
              <w:rPr>
                <w:rFonts w:ascii="宋体" w:hAnsi="宋体" w:eastAsia="宋体"/>
                <w:color w:val="000000" w:themeColor="text1"/>
                <w:sz w:val="18"/>
                <w:szCs w:val="18"/>
                <w14:textFill>
                  <w14:solidFill>
                    <w14:schemeClr w14:val="tx1"/>
                  </w14:solidFill>
                </w14:textFill>
              </w:rPr>
              <w:t>5~8%处罚</w:t>
            </w:r>
            <w:r>
              <w:rPr>
                <w:rFonts w:hint="eastAsia" w:ascii="宋体" w:hAnsi="宋体" w:eastAsia="宋体"/>
                <w:color w:val="000000" w:themeColor="text1"/>
                <w:sz w:val="18"/>
                <w:szCs w:val="18"/>
                <w14:textFill>
                  <w14:solidFill>
                    <w14:schemeClr w14:val="tx1"/>
                  </w14:solidFill>
                </w14:textFill>
              </w:rPr>
              <w:t>；整理8D分析改善资料提交；SQE到厂验证改进效果，未落实改善者处以</w:t>
            </w:r>
            <w:r>
              <w:rPr>
                <w:rFonts w:ascii="宋体" w:hAnsi="宋体" w:eastAsia="宋体"/>
                <w:color w:val="000000" w:themeColor="text1"/>
                <w:sz w:val="18"/>
                <w:szCs w:val="18"/>
                <w14:textFill>
                  <w14:solidFill>
                    <w14:schemeClr w14:val="tx1"/>
                  </w14:solidFill>
                </w14:textFill>
              </w:rPr>
              <w:t>2000元/次处罚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售后市场出现批量材料不良（大于</w:t>
            </w:r>
            <w:r>
              <w:rPr>
                <w:rFonts w:ascii="宋体" w:hAnsi="宋体" w:eastAsia="宋体"/>
                <w:color w:val="000000" w:themeColor="text1"/>
                <w:szCs w:val="21"/>
                <w14:textFill>
                  <w14:solidFill>
                    <w14:schemeClr w14:val="tx1"/>
                  </w14:solidFill>
                </w14:textFill>
              </w:rPr>
              <w:t>5%）或同一现象不良频繁发生（大于3次）</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承担因异常造成盟固利全部直接和间接损失额度的</w:t>
            </w:r>
            <w:r>
              <w:rPr>
                <w:rFonts w:ascii="宋体" w:hAnsi="宋体" w:eastAsia="宋体"/>
                <w:b/>
                <w:color w:val="000000" w:themeColor="text1"/>
                <w:sz w:val="18"/>
                <w:szCs w:val="18"/>
                <w14:textFill>
                  <w14:solidFill>
                    <w14:schemeClr w14:val="tx1"/>
                  </w14:solidFill>
                </w14:textFill>
              </w:rPr>
              <w:t>1.5倍；</w:t>
            </w:r>
            <w:r>
              <w:rPr>
                <w:rFonts w:hint="eastAsia" w:ascii="宋体" w:hAnsi="宋体" w:eastAsia="宋体"/>
                <w:color w:val="000000" w:themeColor="text1"/>
                <w:sz w:val="18"/>
                <w:szCs w:val="18"/>
                <w14:textFill>
                  <w14:solidFill>
                    <w14:schemeClr w14:val="tx1"/>
                  </w14:solidFill>
                </w14:textFill>
              </w:rPr>
              <w:t>处以对应物料批次采购订单总金额</w:t>
            </w:r>
            <w:r>
              <w:rPr>
                <w:rFonts w:ascii="宋体" w:hAnsi="宋体" w:eastAsia="宋体"/>
                <w:color w:val="000000" w:themeColor="text1"/>
                <w:sz w:val="18"/>
                <w:szCs w:val="18"/>
                <w14:textFill>
                  <w14:solidFill>
                    <w14:schemeClr w14:val="tx1"/>
                  </w14:solidFill>
                </w14:textFill>
              </w:rPr>
              <w:t>10~30%处罚</w:t>
            </w:r>
            <w:r>
              <w:rPr>
                <w:rFonts w:hint="eastAsia" w:ascii="宋体" w:hAnsi="宋体" w:eastAsia="宋体"/>
                <w:color w:val="000000" w:themeColor="text1"/>
                <w:sz w:val="18"/>
                <w:szCs w:val="18"/>
                <w14:textFill>
                  <w14:solidFill>
                    <w14:schemeClr w14:val="tx1"/>
                  </w14:solidFill>
                </w14:textFill>
              </w:rPr>
              <w:t>；整理8D分析改善资料由运营负责人到盟固利现场报告，</w:t>
            </w:r>
            <w:r>
              <w:rPr>
                <w:rFonts w:ascii="宋体" w:hAnsi="宋体" w:eastAsia="宋体"/>
                <w:color w:val="000000" w:themeColor="text1"/>
                <w:sz w:val="18"/>
                <w:szCs w:val="18"/>
                <w14:textFill>
                  <w14:solidFill>
                    <w14:schemeClr w14:val="tx1"/>
                  </w14:solidFill>
                </w14:textFill>
              </w:rPr>
              <w:t>SQE派驻厂商现场督促改进；视情况报请</w:t>
            </w:r>
            <w:r>
              <w:rPr>
                <w:rFonts w:hint="eastAsia" w:ascii="宋体" w:hAnsi="宋体" w:eastAsia="宋体"/>
                <w:color w:val="000000" w:themeColor="text1"/>
                <w:sz w:val="18"/>
                <w:szCs w:val="18"/>
                <w14:textFill>
                  <w14:solidFill>
                    <w14:schemeClr w14:val="tx1"/>
                  </w14:solidFill>
                </w14:textFill>
              </w:rPr>
              <w:t>暂停或取消供货资格。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分析整改报告提交时效性</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SQE</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异常发生后超</w:t>
            </w:r>
            <w:r>
              <w:rPr>
                <w:rFonts w:ascii="宋体" w:hAnsi="宋体" w:eastAsia="宋体"/>
                <w:color w:val="000000" w:themeColor="text1"/>
                <w:szCs w:val="21"/>
                <w14:textFill>
                  <w14:solidFill>
                    <w14:schemeClr w14:val="tx1"/>
                  </w14:solidFill>
                </w14:textFill>
              </w:rPr>
              <w:t>3个工作日未提交分析改善报告</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w:t>
            </w:r>
            <w:r>
              <w:rPr>
                <w:rFonts w:ascii="宋体" w:hAnsi="宋体" w:eastAsia="宋体"/>
                <w:color w:val="000000" w:themeColor="text1"/>
                <w:sz w:val="18"/>
                <w:szCs w:val="18"/>
                <w14:textFill>
                  <w14:solidFill>
                    <w14:schemeClr w14:val="tx1"/>
                  </w14:solidFill>
                </w14:textFill>
              </w:rPr>
              <w:t>200元/日标准进行处罚。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同一原因造成的材料重复质量问题，一个年度内重复发生</w:t>
            </w:r>
            <w:r>
              <w:rPr>
                <w:rFonts w:ascii="宋体" w:hAnsi="宋体" w:eastAsia="宋体"/>
                <w:color w:val="000000" w:themeColor="text1"/>
                <w:szCs w:val="21"/>
                <w14:textFill>
                  <w14:solidFill>
                    <w14:schemeClr w14:val="tx1"/>
                  </w14:solidFill>
                </w14:textFill>
              </w:rPr>
              <w:t>2次以上</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从第</w:t>
            </w:r>
            <w:r>
              <w:rPr>
                <w:rFonts w:ascii="宋体" w:hAnsi="宋体" w:eastAsia="宋体"/>
                <w:color w:val="000000" w:themeColor="text1"/>
                <w:sz w:val="18"/>
                <w:szCs w:val="18"/>
                <w14:textFill>
                  <w14:solidFill>
                    <w14:schemeClr w14:val="tx1"/>
                  </w14:solidFill>
                </w14:textFill>
              </w:rPr>
              <w:t>3次开始，每次处罚1000元。SQE派驻厂商现场督促改进，不能彻底解决的质量问题，将视情况报请</w:t>
            </w:r>
            <w:r>
              <w:rPr>
                <w:rFonts w:hint="eastAsia" w:ascii="宋体" w:hAnsi="宋体" w:eastAsia="宋体"/>
                <w:color w:val="000000" w:themeColor="text1"/>
                <w:sz w:val="18"/>
                <w:szCs w:val="18"/>
                <w14:textFill>
                  <w14:solidFill>
                    <w14:schemeClr w14:val="tx1"/>
                  </w14:solidFill>
                </w14:textFill>
              </w:rPr>
              <w:t>暂停供货。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交期</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采购</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未按照物料承诺到货日期交付的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按采购协议额度处罚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到料后出现数量或重量不足的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处以1000-3000元/次的罚款，并按核实差异额度的500%补货。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40" w:lineRule="exact"/>
              <w:jc w:val="center"/>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应急出货支持</w:t>
            </w:r>
          </w:p>
        </w:tc>
        <w:tc>
          <w:tcPr>
            <w:tcW w:w="127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采购</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正常订单在采购提出加急后提前</w:t>
            </w:r>
            <w:r>
              <w:rPr>
                <w:rFonts w:ascii="宋体" w:hAnsi="宋体" w:eastAsia="宋体"/>
                <w:color w:val="000000" w:themeColor="text1"/>
                <w:szCs w:val="21"/>
                <w14:textFill>
                  <w14:solidFill>
                    <w14:schemeClr w14:val="tx1"/>
                  </w14:solidFill>
                </w14:textFill>
              </w:rPr>
              <w:t>1天以上时间到货（超出常规采购周期到货）</w:t>
            </w:r>
          </w:p>
        </w:tc>
        <w:tc>
          <w:tcPr>
            <w:tcW w:w="2976"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奖励</w:t>
            </w:r>
            <w:r>
              <w:rPr>
                <w:rFonts w:ascii="宋体" w:hAnsi="宋体" w:eastAsia="宋体"/>
                <w:color w:val="000000" w:themeColor="text1"/>
                <w:sz w:val="18"/>
                <w:szCs w:val="18"/>
                <w14:textFill>
                  <w14:solidFill>
                    <w14:schemeClr w14:val="tx1"/>
                  </w14:solidFill>
                </w14:textFill>
              </w:rPr>
              <w:t>500元/批</w:t>
            </w:r>
          </w:p>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（采购签字后用于抵扣处罚）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其他同物料厂商无法满足交期时的应急支持</w:t>
            </w:r>
          </w:p>
        </w:tc>
        <w:tc>
          <w:tcPr>
            <w:tcW w:w="2976"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奖励</w:t>
            </w:r>
            <w:r>
              <w:rPr>
                <w:rFonts w:ascii="宋体" w:hAnsi="宋体" w:eastAsia="宋体"/>
                <w:color w:val="000000" w:themeColor="text1"/>
                <w:sz w:val="18"/>
                <w:szCs w:val="18"/>
                <w14:textFill>
                  <w14:solidFill>
                    <w14:schemeClr w14:val="tx1"/>
                  </w14:solidFill>
                </w14:textFill>
              </w:rPr>
              <w:t>1000元/批</w:t>
            </w:r>
          </w:p>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（采购签字后用于抵扣处罚）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非来料原因造成材料问题的处置支持</w:t>
            </w:r>
          </w:p>
        </w:tc>
        <w:tc>
          <w:tcPr>
            <w:tcW w:w="12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SQE</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盟固利原因造成材料异常的现场应急抢修</w:t>
            </w:r>
          </w:p>
        </w:tc>
        <w:tc>
          <w:tcPr>
            <w:tcW w:w="2976"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厂商自家材料：奖励</w:t>
            </w:r>
            <w:r>
              <w:rPr>
                <w:rFonts w:ascii="宋体" w:hAnsi="宋体" w:eastAsia="宋体"/>
                <w:color w:val="000000" w:themeColor="text1"/>
                <w:sz w:val="18"/>
                <w:szCs w:val="18"/>
                <w14:textFill>
                  <w14:solidFill>
                    <w14:schemeClr w14:val="tx1"/>
                  </w14:solidFill>
                </w14:textFill>
              </w:rPr>
              <w:t>500元/批（SQE签字后用于抵扣处罚）</w:t>
            </w:r>
          </w:p>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其他厂商材料：奖励</w:t>
            </w:r>
            <w:r>
              <w:rPr>
                <w:rFonts w:ascii="宋体" w:hAnsi="宋体" w:eastAsia="宋体"/>
                <w:color w:val="000000" w:themeColor="text1"/>
                <w:sz w:val="18"/>
                <w:szCs w:val="18"/>
                <w14:textFill>
                  <w14:solidFill>
                    <w14:schemeClr w14:val="tx1"/>
                  </w14:solidFill>
                </w14:textFill>
              </w:rPr>
              <w:t>1000元/批（SQE签字后用于抵扣处罚）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因乙方产品质量问题造成甲方停线</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after="200" w:line="280" w:lineRule="exact"/>
              <w:rPr>
                <w:rFonts w:ascii="宋体" w:hAnsi="宋体" w:eastAsia="宋体" w:cs="Times New Roman"/>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SQE</w:t>
            </w:r>
          </w:p>
        </w:tc>
        <w:tc>
          <w:tcPr>
            <w:tcW w:w="28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after="200" w:line="28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罚款：按停线总计时间计算</w:t>
            </w:r>
          </w:p>
        </w:tc>
        <w:tc>
          <w:tcPr>
            <w:tcW w:w="2976" w:type="dxa"/>
            <w:tcBorders>
              <w:top w:val="single" w:color="000000" w:sz="4" w:space="0"/>
              <w:left w:val="single" w:color="000000" w:sz="4" w:space="0"/>
              <w:bottom w:val="single" w:color="000000" w:sz="4" w:space="0"/>
              <w:right w:val="single" w:color="000000" w:sz="4" w:space="0"/>
            </w:tcBorders>
            <w:vAlign w:val="center"/>
          </w:tcPr>
          <w:p>
            <w:pPr>
              <w:spacing w:line="440" w:lineRule="exac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造成PACK产线停线的，按单线5000元/小时标准计算；</w:t>
            </w:r>
          </w:p>
          <w:p>
            <w:pPr>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造成单体产线停线的，按单线10000元/小时标准计算。</w:t>
            </w:r>
          </w:p>
        </w:tc>
      </w:tr>
    </w:tbl>
    <w:p>
      <w:pPr>
        <w:spacing w:line="300" w:lineRule="auto"/>
        <w:rPr>
          <w:rFonts w:ascii="宋体" w:hAnsi="宋体" w:cs="宋体"/>
          <w:color w:val="000000" w:themeColor="text1"/>
          <w:sz w:val="24"/>
          <w14:textFill>
            <w14:solidFill>
              <w14:schemeClr w14:val="tx1"/>
            </w14:solidFill>
          </w14:textFill>
        </w:rPr>
      </w:pPr>
    </w:p>
    <w:p>
      <w:pPr>
        <w:spacing w:line="440" w:lineRule="exact"/>
        <w:rPr>
          <w:rFonts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9.1.4</w:t>
      </w:r>
      <w:r>
        <w:rPr>
          <w:rFonts w:hint="eastAsia" w:ascii="宋体" w:hAnsi="宋体" w:eastAsia="宋体"/>
          <w:color w:val="000000" w:themeColor="text1"/>
          <w:sz w:val="24"/>
          <w:szCs w:val="24"/>
          <w14:textFill>
            <w14:solidFill>
              <w14:schemeClr w14:val="tx1"/>
            </w14:solidFill>
          </w14:textFill>
        </w:rPr>
        <w:t>合格供应商例行考核标准：</w:t>
      </w:r>
    </w:p>
    <w:p>
      <w:pPr>
        <w:spacing w:line="440" w:lineRule="exact"/>
        <w:rPr>
          <w:rFonts w:hint="eastAsia" w:ascii="宋体" w:hAnsi="宋体" w:eastAsia="宋体"/>
          <w:b/>
          <w:color w:val="000000" w:themeColor="text1"/>
          <w:szCs w:val="21"/>
          <w:lang w:eastAsia="zh-CN"/>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月度累计交付批次小于3批的不纳入当月例行考核。</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6"/>
        <w:gridCol w:w="1276"/>
        <w:gridCol w:w="850"/>
        <w:gridCol w:w="2410"/>
        <w:gridCol w:w="26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项目</w:t>
            </w:r>
          </w:p>
        </w:tc>
        <w:tc>
          <w:tcPr>
            <w:tcW w:w="12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负责岗位</w:t>
            </w:r>
          </w:p>
        </w:tc>
        <w:tc>
          <w:tcPr>
            <w:tcW w:w="85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比重</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考核标准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奖惩措施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4" w:hRule="atLeast"/>
        </w:trPr>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质量</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SQE</w:t>
            </w: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50%</w:t>
            </w:r>
          </w:p>
        </w:tc>
        <w:tc>
          <w:tcPr>
            <w:tcW w:w="2410" w:type="dxa"/>
            <w:tcBorders>
              <w:top w:val="single" w:color="000000" w:sz="4" w:space="0"/>
              <w:left w:val="single" w:color="000000" w:sz="4" w:space="0"/>
              <w:right w:val="single" w:color="000000" w:sz="4" w:space="0"/>
            </w:tcBorders>
          </w:tcPr>
          <w:p>
            <w:pPr>
              <w:adjustRightInd w:val="0"/>
              <w:snapToGrid w:val="0"/>
              <w:spacing w:line="440" w:lineRule="exact"/>
              <w:rPr>
                <w:rFonts w:ascii="宋体" w:hAnsi="宋体" w:eastAsia="宋体"/>
                <w:color w:val="000000" w:themeColor="text1"/>
                <w:szCs w:val="21"/>
                <w14:textFill>
                  <w14:solidFill>
                    <w14:schemeClr w14:val="tx1"/>
                  </w14:solidFill>
                </w14:textFill>
              </w:rPr>
            </w:pPr>
          </w:p>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月度发生进料检验不良率高于设定目标</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olor w:val="000000" w:themeColor="text1"/>
                <w:sz w:val="18"/>
                <w:szCs w:val="18"/>
                <w14:textFill>
                  <w14:solidFill>
                    <w14:schemeClr w14:val="tx1"/>
                  </w14:solidFill>
                </w14:textFill>
              </w:rPr>
            </w:pPr>
          </w:p>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一次性-5分，比重分扣完为止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同一不良现象频繁发生无改善效果（月度累计2次含以上）</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第2次开始-5分/次，比重分扣完为止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月度内发生材料上线不良项或确定的售后不良</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给予月度-5分/次考核，比重分扣完为止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交付</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采购</w:t>
            </w: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30%</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交期延误</w:t>
            </w:r>
          </w:p>
        </w:tc>
        <w:tc>
          <w:tcPr>
            <w:tcW w:w="2658"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2天内的-5分/次，超2天的-10分/次，比重分扣完为止。</w:t>
            </w:r>
          </w:p>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同步执行采购交期延误罚款，额度与标准依采购协议执行。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超额运费</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-5分/次，比重分扣完为止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数量或重量不足</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-5分/次，比重分扣完为止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配合度</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SQE和采购</w:t>
            </w: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20%</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8D问题改善报告回复率</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目标100%回复，未回复的按-5分/件进行考核，比重分扣完为止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现场出现质量问题到位及时率 </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与要求到位日延迟一天进行-5分考核，比重分扣完为止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月度总分</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90分以上</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优秀供应商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80-89分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合格厂商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70-79分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 xml:space="preserve">关注厂商，实施SQE现场辅导，必要时驻厂协同改进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70分以下</w:t>
            </w:r>
          </w:p>
        </w:tc>
        <w:tc>
          <w:tcPr>
            <w:tcW w:w="2658"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color w:val="000000" w:themeColor="text1"/>
                <w:sz w:val="18"/>
                <w:szCs w:val="18"/>
                <w:highlight w:val="none"/>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单月：</w:t>
            </w:r>
            <w:r>
              <w:rPr>
                <w:rFonts w:hint="eastAsia" w:ascii="宋体" w:hAnsi="宋体" w:eastAsia="宋体"/>
                <w:color w:val="000000" w:themeColor="text1"/>
                <w:sz w:val="18"/>
                <w:szCs w:val="18"/>
                <w:highlight w:val="none"/>
                <w14:textFill>
                  <w14:solidFill>
                    <w14:schemeClr w14:val="tx1"/>
                  </w14:solidFill>
                </w14:textFill>
              </w:rPr>
              <w:t>下发质量提醒函，质量负责人提供月度分析改善报告到盟固利报告</w:t>
            </w:r>
          </w:p>
          <w:p>
            <w:pPr>
              <w:spacing w:line="440" w:lineRule="exact"/>
              <w:rPr>
                <w:rFonts w:ascii="宋体" w:hAnsi="宋体" w:eastAsia="宋体"/>
                <w:color w:val="000000" w:themeColor="text1"/>
                <w:sz w:val="18"/>
                <w:szCs w:val="18"/>
                <w:highlight w:val="none"/>
                <w14:textFill>
                  <w14:solidFill>
                    <w14:schemeClr w14:val="tx1"/>
                  </w14:solidFill>
                </w14:textFill>
              </w:rPr>
            </w:pPr>
            <w:r>
              <w:rPr>
                <w:rFonts w:hint="eastAsia" w:ascii="宋体" w:hAnsi="宋体" w:eastAsia="宋体"/>
                <w:color w:val="000000" w:themeColor="text1"/>
                <w:sz w:val="18"/>
                <w:szCs w:val="18"/>
                <w:highlight w:val="none"/>
                <w14:textFill>
                  <w14:solidFill>
                    <w14:schemeClr w14:val="tx1"/>
                  </w14:solidFill>
                </w14:textFill>
              </w:rPr>
              <w:t>连续2个月：处以第2个月总采购订单总额3~5%的罚款；下发质量警示函；公司运营负责人到盟固利汇报问题解决及改进措施；采购和技术启动备选厂商评估与辅导</w:t>
            </w:r>
          </w:p>
          <w:p>
            <w:pPr>
              <w:spacing w:line="440" w:lineRule="exact"/>
              <w:rPr>
                <w:rFonts w:ascii="宋体" w:hAnsi="宋体" w:eastAsia="宋体"/>
                <w:color w:val="000000" w:themeColor="text1"/>
                <w:sz w:val="18"/>
                <w:szCs w:val="18"/>
                <w:highlight w:val="none"/>
                <w14:textFill>
                  <w14:solidFill>
                    <w14:schemeClr w14:val="tx1"/>
                  </w14:solidFill>
                </w14:textFill>
              </w:rPr>
            </w:pPr>
            <w:r>
              <w:rPr>
                <w:rFonts w:hint="eastAsia" w:ascii="宋体" w:hAnsi="宋体" w:eastAsia="宋体"/>
                <w:color w:val="000000" w:themeColor="text1"/>
                <w:sz w:val="18"/>
                <w:szCs w:val="18"/>
                <w:highlight w:val="none"/>
                <w14:textFill>
                  <w14:solidFill>
                    <w14:schemeClr w14:val="tx1"/>
                  </w14:solidFill>
                </w14:textFill>
              </w:rPr>
              <w:t>连续3个月：处以截至当月的前3个月采购订单总额3~5%的罚款；公司运营负责人到盟固利汇报问题解决及改进措施；技术启动备选厂商样品测评</w:t>
            </w:r>
          </w:p>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连续4个月： 劣汰，终止供货时间以新料完成认证为准.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年度总评</w:t>
            </w:r>
          </w:p>
        </w:tc>
        <w:tc>
          <w:tcPr>
            <w:tcW w:w="2126" w:type="dxa"/>
            <w:gridSpan w:val="2"/>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有效供货月度的平均分</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90分以上</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highlight w:val="none"/>
                <w14:textFill>
                  <w14:solidFill>
                    <w14:schemeClr w14:val="tx1"/>
                  </w14:solidFill>
                </w14:textFill>
              </w:rPr>
              <w:t>优秀供应商，颁发奖杯或奖状；区分单体和PACK物料两类，前三名颁发奖杯。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80-89分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合格供应商。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70-79分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限制供应供应商。下发整改警示状。半年整改期，次年前6月平均分仍未进入80以上分段，进入劣汰供应商清单，根据材料供应情况，次年12月前完成淘汰，剔除合格供应商名录。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color w:val="000000" w:themeColor="text1"/>
                <w:szCs w:val="21"/>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70分以下</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劣汰供应商（根据材料供应情况，次年6月前落实淘汰，剔除合格供应商名录）</w:t>
            </w:r>
          </w:p>
        </w:tc>
      </w:tr>
    </w:tbl>
    <w:p>
      <w:pPr>
        <w:spacing w:line="30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本协议所有金额均以人民币结算。</w:t>
      </w:r>
    </w:p>
    <w:p>
      <w:pPr>
        <w:spacing w:line="30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以上处罚及索赔在甲方下发通知后的具体执行方式，原则上按甲方要求执行，乙方如有特殊需求的，可以提出申请作为参考。</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9.2 其他外部处罚与索赔：</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乙方交付给甲方的产品出现违反国家法律、法规及强制性国家标准规定的，乙方除承担相应的法律、法规责任外，还将全额承担由此给甲方造成的直接损失和间接损失。</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因乙方交付的产品质量缺陷造成人身安全和财产方面的损失</w:t>
      </w:r>
      <w:r>
        <w:rPr>
          <w:rFonts w:hint="eastAsia" w:ascii="宋体" w:hAnsi="宋体" w:cs="宋体"/>
          <w:color w:val="000000" w:themeColor="text1"/>
          <w:sz w:val="24"/>
          <w:lang w:val="en-US" w:eastAsia="zh-CN"/>
          <w14:textFill>
            <w14:solidFill>
              <w14:schemeClr w14:val="tx1"/>
            </w14:solidFill>
          </w14:textFill>
        </w:rPr>
        <w:t>均</w:t>
      </w:r>
      <w:r>
        <w:rPr>
          <w:rFonts w:hint="eastAsia" w:ascii="宋体" w:hAnsi="宋体" w:cs="宋体"/>
          <w:color w:val="000000" w:themeColor="text1"/>
          <w:sz w:val="24"/>
          <w14:textFill>
            <w14:solidFill>
              <w14:schemeClr w14:val="tx1"/>
            </w14:solidFill>
          </w14:textFill>
        </w:rPr>
        <w:t>由乙方承担。</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 质量处罚/索赔及质量风险控制的执行</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对于乙方交付的产品出现了上述质量索赔条款中质量问题或本合同约定的质量责任，甲方将会以《供应商处罚/索赔通知单》形式发送邮件给本协议</w:t>
      </w:r>
      <w:r>
        <w:rPr>
          <w:rFonts w:hint="eastAsia" w:ascii="宋体" w:hAnsi="宋体" w:cs="宋体"/>
          <w:color w:val="auto"/>
          <w:sz w:val="24"/>
        </w:rPr>
        <w:t>5.</w:t>
      </w:r>
      <w:r>
        <w:rPr>
          <w:rFonts w:hint="eastAsia" w:ascii="宋体" w:hAnsi="宋体" w:cs="宋体"/>
          <w:color w:val="auto"/>
          <w:sz w:val="24"/>
          <w:u w:val="none"/>
          <w:lang w:val="en-US" w:eastAsia="zh-CN"/>
        </w:rPr>
        <w:t>1</w:t>
      </w:r>
      <w:r>
        <w:rPr>
          <w:rFonts w:hint="eastAsia" w:ascii="宋体" w:hAnsi="宋体" w:cs="宋体"/>
          <w:color w:val="auto"/>
          <w:sz w:val="24"/>
          <w:u w:val="none"/>
        </w:rPr>
        <w:t>.</w:t>
      </w:r>
      <w:r>
        <w:rPr>
          <w:rFonts w:hint="eastAsia" w:ascii="宋体" w:hAnsi="宋体" w:cs="宋体"/>
          <w:color w:val="auto"/>
          <w:sz w:val="24"/>
          <w:u w:val="none"/>
          <w:lang w:val="en-US" w:eastAsia="zh-CN"/>
        </w:rPr>
        <w:t>8</w:t>
      </w:r>
      <w:r>
        <w:rPr>
          <w:rFonts w:hint="eastAsia" w:ascii="宋体" w:hAnsi="宋体" w:cs="宋体"/>
          <w:color w:val="auto"/>
          <w:sz w:val="24"/>
        </w:rPr>
        <w:t>条</w:t>
      </w:r>
      <w:r>
        <w:rPr>
          <w:rFonts w:hint="eastAsia" w:ascii="宋体" w:hAnsi="宋体" w:cs="宋体"/>
          <w:color w:val="000000" w:themeColor="text1"/>
          <w:sz w:val="24"/>
          <w14:textFill>
            <w14:solidFill>
              <w14:schemeClr w14:val="tx1"/>
            </w14:solidFill>
          </w14:textFill>
        </w:rPr>
        <w:t>款中乙方提供的质量负责人，同时进行电话告知。</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应在收到《供应商处罚/索赔通知单》后三个工作日内回复处罚反馈意见函，作为甲方内部复核时的有限参考条件，但实际执行仍会按甲方内部综合意见结果为准。若乙方未按规定时间提交反馈意见，视为乙方同意甲方处罚结果。</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甲方将有权从乙方的货款或质保金中扣除质量处罚/索赔金额，并可通过延期付款、冻结其货款等方法之中的任一措施对质量风险损失进行进一步控制。</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 质量责任争议的处置</w:t>
      </w:r>
    </w:p>
    <w:p>
      <w:pPr>
        <w:spacing w:line="300" w:lineRule="auto"/>
        <w:ind w:firstLine="470" w:firstLineChars="196"/>
        <w:rPr>
          <w:ins w:id="0" w:author="MGL" w:date="2022-10-09T11:31:17Z"/>
          <w:rFonts w:hint="eastAsia" w:ascii="宋体" w:hAnsi="宋体" w:cs="宋体"/>
          <w:color w:val="000000" w:themeColor="text1"/>
          <w:sz w:val="24"/>
          <w:highlight w:val="yellow"/>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于甲方反馈的产品质量问题，乙方如有异议，可到甲方或甲方客户端现场进行共同鉴定；双方无法通过现场共同鉴定达成一致结论的，应委托甲方推荐的第三方检测机构进行鉴定，鉴定费用由申请方先行垫付。经第三方检测机构鉴定后，因此所产生的所有费用及损失由责任方承担</w:t>
      </w:r>
      <w:r>
        <w:rPr>
          <w:rFonts w:hint="eastAsia" w:ascii="宋体" w:hAnsi="宋体" w:cs="宋体"/>
          <w:color w:val="000000" w:themeColor="text1"/>
          <w:sz w:val="24"/>
          <w:highlight w:val="none"/>
          <w14:textFill>
            <w14:solidFill>
              <w14:schemeClr w14:val="tx1"/>
            </w14:solidFill>
          </w14:textFill>
        </w:rPr>
        <w:t>。</w:t>
      </w:r>
    </w:p>
    <w:p>
      <w:pPr>
        <w:spacing w:line="300" w:lineRule="auto"/>
        <w:ind w:firstLine="470" w:firstLineChars="196"/>
        <w:rPr>
          <w:rFonts w:hint="eastAsia" w:ascii="宋体" w:hAnsi="宋体" w:cs="宋体" w:eastAsiaTheme="minorEastAsia"/>
          <w:color w:val="000000" w:themeColor="text1"/>
          <w:sz w:val="24"/>
          <w:highlight w:val="yellow"/>
          <w:lang w:val="en-US" w:eastAsia="zh-CN"/>
          <w14:textFill>
            <w14:solidFill>
              <w14:schemeClr w14:val="tx1"/>
            </w14:solidFill>
          </w14:textFill>
        </w:rPr>
      </w:pPr>
    </w:p>
    <w:p>
      <w:pPr>
        <w:spacing w:line="300" w:lineRule="auto"/>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十、保密条款</w:t>
      </w:r>
    </w:p>
    <w:p>
      <w:pPr>
        <w:spacing w:line="300" w:lineRule="auto"/>
        <w:ind w:firstLine="480" w:firstLineChars="200"/>
        <w:rPr>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乙方应严格保守本质量协议以及个别签订、履行过程中知晓的甲方的任何商业机密或其他</w:t>
      </w:r>
      <w:r>
        <w:rPr>
          <w:rFonts w:hint="eastAsia" w:ascii="宋体" w:hAnsi="宋体" w:cs="宋体"/>
          <w:color w:val="000000" w:themeColor="text1"/>
          <w:sz w:val="24"/>
          <w:lang w:val="en-US" w:eastAsia="zh-CN"/>
          <w14:textFill>
            <w14:solidFill>
              <w14:schemeClr w14:val="tx1"/>
            </w14:solidFill>
          </w14:textFill>
        </w:rPr>
        <w:t>资料、</w:t>
      </w:r>
      <w:r>
        <w:rPr>
          <w:rFonts w:hint="eastAsia" w:ascii="宋体" w:hAnsi="宋体" w:cs="宋体"/>
          <w:color w:val="000000" w:themeColor="text1"/>
          <w:sz w:val="24"/>
          <w14:textFill>
            <w14:solidFill>
              <w14:schemeClr w14:val="tx1"/>
            </w14:solidFill>
          </w14:textFill>
        </w:rPr>
        <w:t>信息，不得向任何第三者泄露</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否则，赔偿由此给甲方造成的损失</w:t>
      </w:r>
      <w:r>
        <w:rPr>
          <w:rFonts w:hint="eastAsia" w:ascii="宋体" w:hAnsi="宋体" w:cs="宋体"/>
          <w:color w:val="000000" w:themeColor="text1"/>
          <w:sz w:val="24"/>
          <w14:textFill>
            <w14:solidFill>
              <w14:schemeClr w14:val="tx1"/>
            </w14:solidFill>
          </w14:textFill>
        </w:rPr>
        <w:t>。本条规定的乙方义务在本协议的终止后继续有效。乙方保密义务溯及至关联员工。</w:t>
      </w:r>
    </w:p>
    <w:p>
      <w:pPr>
        <w:pStyle w:val="16"/>
        <w:numPr>
          <w:ilvl w:val="255"/>
          <w:numId w:val="0"/>
        </w:num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十一、争议解决</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 本协议未尽事宜由双方协商解决，另行签订补充协议。</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 在本协议履行过程中发生争议的，双方应协商解决；协商不成的，可向甲方所在地人民法院</w:t>
      </w:r>
      <w:r>
        <w:rPr>
          <w:rFonts w:hint="eastAsia" w:ascii="宋体" w:hAnsi="宋体" w:cs="宋体"/>
          <w:color w:val="000000" w:themeColor="text1"/>
          <w:sz w:val="24"/>
          <w:lang w:val="en-US" w:eastAsia="zh-CN"/>
          <w14:textFill>
            <w14:solidFill>
              <w14:schemeClr w14:val="tx1"/>
            </w14:solidFill>
          </w14:textFill>
        </w:rPr>
        <w:t>提</w:t>
      </w:r>
      <w:r>
        <w:rPr>
          <w:rFonts w:hint="eastAsia" w:ascii="宋体" w:hAnsi="宋体" w:cs="宋体"/>
          <w:color w:val="000000" w:themeColor="text1"/>
          <w:sz w:val="24"/>
          <w14:textFill>
            <w14:solidFill>
              <w14:schemeClr w14:val="tx1"/>
            </w14:solidFill>
          </w14:textFill>
        </w:rPr>
        <w:t>起诉讼</w:t>
      </w:r>
      <w:r>
        <w:rPr>
          <w:rFonts w:hint="eastAsia" w:ascii="宋体" w:hAnsi="宋体" w:cs="宋体"/>
          <w:color w:val="000000" w:themeColor="text1"/>
          <w:sz w:val="24"/>
          <w:lang w:val="en-US" w:eastAsia="zh-CN"/>
          <w14:textFill>
            <w14:solidFill>
              <w14:schemeClr w14:val="tx1"/>
            </w14:solidFill>
          </w14:textFill>
        </w:rPr>
        <w:t>解决</w:t>
      </w:r>
      <w:r>
        <w:rPr>
          <w:rFonts w:hint="eastAsia" w:ascii="宋体" w:hAnsi="宋体" w:cs="宋体"/>
          <w:color w:val="000000" w:themeColor="text1"/>
          <w:sz w:val="24"/>
          <w14:textFill>
            <w14:solidFill>
              <w14:schemeClr w14:val="tx1"/>
            </w14:solidFill>
          </w14:textFill>
        </w:rPr>
        <w:t>。</w:t>
      </w:r>
    </w:p>
    <w:p>
      <w:pPr>
        <w:spacing w:line="300" w:lineRule="auto"/>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十二、其他</w:t>
      </w:r>
    </w:p>
    <w:p>
      <w:pPr>
        <w:pStyle w:val="2"/>
        <w:ind w:firstLine="480" w:firstLineChars="200"/>
        <w:rPr>
          <w:rFonts w:hint="eastAsia" w:ascii="宋体" w:hAnsi="宋体" w:cs="宋体" w:eastAsiaTheme="minorEastAsia"/>
          <w:color w:val="000000" w:themeColor="text1"/>
          <w:kern w:val="2"/>
          <w:sz w:val="24"/>
          <w:szCs w:val="22"/>
          <w:lang w:val="en-US" w:eastAsia="zh-CN" w:bidi="ar-SA"/>
          <w14:textFill>
            <w14:solidFill>
              <w14:schemeClr w14:val="tx1"/>
            </w14:solidFill>
          </w14:textFill>
        </w:rPr>
      </w:pPr>
      <w:r>
        <w:rPr>
          <w:rFonts w:hint="eastAsia" w:ascii="宋体" w:hAnsi="宋体" w:cs="宋体"/>
          <w:color w:val="000000" w:themeColor="text1"/>
          <w:sz w:val="24"/>
          <w14:textFill>
            <w14:solidFill>
              <w14:schemeClr w14:val="tx1"/>
            </w14:solidFill>
          </w14:textFill>
        </w:rPr>
        <w:t>12.1</w:t>
      </w:r>
      <w:r>
        <w:rPr>
          <w:rFonts w:hint="eastAsia" w:ascii="宋体" w:hAnsi="宋体" w:cs="宋体" w:eastAsiaTheme="minorEastAsia"/>
          <w:color w:val="000000" w:themeColor="text1"/>
          <w:kern w:val="2"/>
          <w:sz w:val="24"/>
          <w:szCs w:val="22"/>
          <w:lang w:val="en-US" w:eastAsia="zh-CN" w:bidi="ar-SA"/>
          <w14:textFill>
            <w14:solidFill>
              <w14:schemeClr w14:val="tx1"/>
            </w14:solidFill>
          </w14:textFill>
        </w:rPr>
        <w:t>本协议对甲方及甲方关联公司（天津荣盛盟固利新能源科技有限公司等）均有效（注：协议同样适用于乙方所有供货产品）。</w:t>
      </w:r>
    </w:p>
    <w:p>
      <w:pPr>
        <w:spacing w:line="300" w:lineRule="auto"/>
        <w:ind w:firstLine="470" w:firstLineChars="196"/>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 本协议系由甲乙双方协商一致而达成，非任何一方提供的格式合同或格式条款，各方已充分理解协议条文的相关规定，知悉各自在协议项下的权利与义务。</w:t>
      </w:r>
    </w:p>
    <w:p>
      <w:pPr>
        <w:spacing w:line="300" w:lineRule="auto"/>
        <w:ind w:firstLine="470" w:firstLineChars="196"/>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 本协议一式两份，由甲乙双方授权代表签字</w:t>
      </w:r>
      <w:r>
        <w:rPr>
          <w:rFonts w:hint="eastAsia" w:ascii="宋体" w:hAnsi="宋体" w:cs="宋体"/>
          <w:color w:val="000000" w:themeColor="text1"/>
          <w:sz w:val="24"/>
          <w:lang w:val="en-US" w:eastAsia="zh-CN"/>
          <w14:textFill>
            <w14:solidFill>
              <w14:schemeClr w14:val="tx1"/>
            </w14:solidFill>
          </w14:textFill>
        </w:rPr>
        <w:t>并</w:t>
      </w:r>
      <w:r>
        <w:rPr>
          <w:rFonts w:hint="eastAsia" w:ascii="宋体" w:hAnsi="宋体" w:cs="宋体"/>
          <w:color w:val="000000" w:themeColor="text1"/>
          <w:sz w:val="24"/>
          <w14:textFill>
            <w14:solidFill>
              <w14:schemeClr w14:val="tx1"/>
            </w14:solidFill>
          </w14:textFill>
        </w:rPr>
        <w:t>盖章后生效，甲、乙方各执一份。</w:t>
      </w:r>
    </w:p>
    <w:p>
      <w:pPr>
        <w:spacing w:line="300" w:lineRule="auto"/>
        <w:ind w:firstLine="470" w:firstLineChars="196"/>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 本协议解释权归甲方。</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【以下无正文】</w:t>
      </w:r>
    </w:p>
    <w:p>
      <w:pPr>
        <w:spacing w:line="300" w:lineRule="auto"/>
        <w:ind w:firstLine="470" w:firstLineChars="196"/>
        <w:rPr>
          <w:rFonts w:ascii="宋体" w:hAnsi="宋体" w:cs="宋体"/>
          <w:color w:val="000000" w:themeColor="text1"/>
          <w:sz w:val="24"/>
          <w14:textFill>
            <w14:solidFill>
              <w14:schemeClr w14:val="tx1"/>
            </w14:solidFill>
          </w14:textFill>
        </w:rPr>
      </w:pPr>
    </w:p>
    <w:p>
      <w:pPr>
        <w:spacing w:line="300" w:lineRule="auto"/>
        <w:ind w:firstLine="470" w:firstLineChars="196"/>
        <w:rPr>
          <w:rFonts w:ascii="宋体" w:hAnsi="宋体" w:cs="宋体"/>
          <w:color w:val="000000" w:themeColor="text1"/>
          <w:sz w:val="24"/>
          <w14:textFill>
            <w14:solidFill>
              <w14:schemeClr w14:val="tx1"/>
            </w14:solidFill>
          </w14:textFill>
        </w:rPr>
      </w:pPr>
    </w:p>
    <w:p>
      <w:pPr>
        <w:spacing w:line="300" w:lineRule="auto"/>
        <w:ind w:firstLine="470" w:firstLineChars="196"/>
        <w:rPr>
          <w:rFonts w:ascii="宋体" w:hAnsi="宋体" w:cs="宋体"/>
          <w:color w:val="000000" w:themeColor="text1"/>
          <w:sz w:val="24"/>
          <w14:textFill>
            <w14:solidFill>
              <w14:schemeClr w14:val="tx1"/>
            </w14:solidFill>
          </w14:textFill>
        </w:rPr>
      </w:pPr>
    </w:p>
    <w:p>
      <w:pPr>
        <w:spacing w:line="300" w:lineRule="auto"/>
        <w:ind w:firstLine="470" w:firstLineChars="196"/>
        <w:rPr>
          <w:rFonts w:ascii="宋体" w:hAnsi="宋体" w:cs="宋体"/>
          <w:color w:val="000000" w:themeColor="text1"/>
          <w:sz w:val="24"/>
          <w14:textFill>
            <w14:solidFill>
              <w14:schemeClr w14:val="tx1"/>
            </w14:solidFill>
          </w14:textFill>
        </w:rPr>
      </w:pP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甲方：荣盛盟固利新能源科技股份有限公司      乙方：</w:t>
      </w:r>
      <w:r>
        <w:rPr>
          <w:rFonts w:ascii="宋体" w:hAnsi="宋体" w:cs="宋体"/>
          <w:color w:val="000000" w:themeColor="text1"/>
          <w:sz w:val="24"/>
          <w14:textFill>
            <w14:solidFill>
              <w14:schemeClr w14:val="tx1"/>
            </w14:solidFill>
          </w14:textFill>
        </w:rPr>
        <w:t xml:space="preserve"> </w:t>
      </w: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甲方代表签字：                              乙方代表签字：</w:t>
      </w:r>
    </w:p>
    <w:p>
      <w:pPr>
        <w:spacing w:line="300" w:lineRule="auto"/>
        <w:ind w:firstLine="470" w:firstLineChars="196"/>
        <w:rPr>
          <w:rFonts w:ascii="宋体" w:hAnsi="宋体" w:cs="宋体"/>
          <w:color w:val="000000" w:themeColor="text1"/>
          <w:sz w:val="24"/>
          <w14:textFill>
            <w14:solidFill>
              <w14:schemeClr w14:val="tx1"/>
            </w14:solidFill>
          </w14:textFill>
        </w:rPr>
      </w:pP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盖章：                                      盖章：</w:t>
      </w:r>
    </w:p>
    <w:p>
      <w:pPr>
        <w:spacing w:line="300" w:lineRule="auto"/>
        <w:ind w:firstLine="470" w:firstLineChars="196"/>
        <w:rPr>
          <w:rFonts w:ascii="宋体" w:hAnsi="宋体" w:cs="宋体"/>
          <w:color w:val="000000" w:themeColor="text1"/>
          <w:sz w:val="24"/>
          <w14:textFill>
            <w14:solidFill>
              <w14:schemeClr w14:val="tx1"/>
            </w14:solidFill>
          </w14:textFill>
        </w:rPr>
      </w:pPr>
    </w:p>
    <w:p>
      <w:pPr>
        <w:spacing w:line="30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sectPr>
      <w:headerReference r:id="rId4" w:type="first"/>
      <w:footerReference r:id="rId5" w:type="default"/>
      <w:headerReference r:id="rId3" w:type="even"/>
      <w:footerReference r:id="rId6"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44710442"/>
      <w:docPartObj>
        <w:docPartGallery w:val="autotext"/>
      </w:docPartObj>
    </w:sdtPr>
    <w:sdtEndPr>
      <w:rPr>
        <w:rStyle w:val="11"/>
      </w:rPr>
    </w:sdtEndPr>
    <w:sdtContent>
      <w:p>
        <w:pPr>
          <w:pStyle w:val="6"/>
          <w:framePr w:wrap="auto"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1</w:t>
        </w:r>
        <w:r>
          <w:rPr>
            <w:rStyle w:val="11"/>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868500030"/>
      <w:docPartObj>
        <w:docPartGallery w:val="autotext"/>
      </w:docPartObj>
    </w:sdtPr>
    <w:sdtEndPr>
      <w:rPr>
        <w:rStyle w:val="11"/>
      </w:rPr>
    </w:sdtEndPr>
    <w:sdtContent>
      <w:p>
        <w:pPr>
          <w:pStyle w:val="6"/>
          <w:framePr w:wrap="auto"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1</w:t>
        </w:r>
        <w:r>
          <w:rPr>
            <w:rStyle w:val="11"/>
          </w:rP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4E27CF"/>
    <w:multiLevelType w:val="multilevel"/>
    <w:tmpl w:val="274E27C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GL">
    <w15:presenceInfo w15:providerId="None" w15:userId="M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kODcyZWQ0MWM2M2FjODI2OWI5OGI4YTUzMGY1OTEifQ=="/>
  </w:docVars>
  <w:rsids>
    <w:rsidRoot w:val="00172A27"/>
    <w:rsid w:val="0000670C"/>
    <w:rsid w:val="00007A61"/>
    <w:rsid w:val="00020212"/>
    <w:rsid w:val="0002544C"/>
    <w:rsid w:val="00030D93"/>
    <w:rsid w:val="000440DF"/>
    <w:rsid w:val="00053B3A"/>
    <w:rsid w:val="00060231"/>
    <w:rsid w:val="0006522E"/>
    <w:rsid w:val="00072BB3"/>
    <w:rsid w:val="00082047"/>
    <w:rsid w:val="000833DC"/>
    <w:rsid w:val="000932FE"/>
    <w:rsid w:val="000A011E"/>
    <w:rsid w:val="000D4422"/>
    <w:rsid w:val="000D576C"/>
    <w:rsid w:val="000D5D61"/>
    <w:rsid w:val="000D609A"/>
    <w:rsid w:val="000D7BE5"/>
    <w:rsid w:val="000E262B"/>
    <w:rsid w:val="000F3774"/>
    <w:rsid w:val="00113970"/>
    <w:rsid w:val="00143718"/>
    <w:rsid w:val="001441DC"/>
    <w:rsid w:val="00146185"/>
    <w:rsid w:val="00152698"/>
    <w:rsid w:val="001775CA"/>
    <w:rsid w:val="00177650"/>
    <w:rsid w:val="00181F3F"/>
    <w:rsid w:val="00183004"/>
    <w:rsid w:val="001845B3"/>
    <w:rsid w:val="00191624"/>
    <w:rsid w:val="001A25BC"/>
    <w:rsid w:val="001B5205"/>
    <w:rsid w:val="001B71B5"/>
    <w:rsid w:val="001C4397"/>
    <w:rsid w:val="001D010E"/>
    <w:rsid w:val="001D2657"/>
    <w:rsid w:val="00207B0E"/>
    <w:rsid w:val="002105F9"/>
    <w:rsid w:val="00213081"/>
    <w:rsid w:val="002222C8"/>
    <w:rsid w:val="00222FB5"/>
    <w:rsid w:val="00242236"/>
    <w:rsid w:val="0025214D"/>
    <w:rsid w:val="00257D75"/>
    <w:rsid w:val="00267BE9"/>
    <w:rsid w:val="00281876"/>
    <w:rsid w:val="0028395B"/>
    <w:rsid w:val="0029185C"/>
    <w:rsid w:val="002B17D4"/>
    <w:rsid w:val="002E2298"/>
    <w:rsid w:val="002E489B"/>
    <w:rsid w:val="002F6ACE"/>
    <w:rsid w:val="00302037"/>
    <w:rsid w:val="00311702"/>
    <w:rsid w:val="003157F0"/>
    <w:rsid w:val="003179D1"/>
    <w:rsid w:val="0032077D"/>
    <w:rsid w:val="0032384C"/>
    <w:rsid w:val="00330861"/>
    <w:rsid w:val="0033117B"/>
    <w:rsid w:val="00345748"/>
    <w:rsid w:val="0035206C"/>
    <w:rsid w:val="00357FE7"/>
    <w:rsid w:val="00361320"/>
    <w:rsid w:val="00361F0A"/>
    <w:rsid w:val="003745CA"/>
    <w:rsid w:val="00376199"/>
    <w:rsid w:val="00380EE9"/>
    <w:rsid w:val="00384750"/>
    <w:rsid w:val="00387AEC"/>
    <w:rsid w:val="003969DD"/>
    <w:rsid w:val="003A01FF"/>
    <w:rsid w:val="003A0594"/>
    <w:rsid w:val="003A2F4B"/>
    <w:rsid w:val="003A4124"/>
    <w:rsid w:val="003A6A54"/>
    <w:rsid w:val="003A7B4E"/>
    <w:rsid w:val="003C1B33"/>
    <w:rsid w:val="003D7E30"/>
    <w:rsid w:val="003F14F2"/>
    <w:rsid w:val="00401A87"/>
    <w:rsid w:val="0040382A"/>
    <w:rsid w:val="00405041"/>
    <w:rsid w:val="00406DA9"/>
    <w:rsid w:val="004102A1"/>
    <w:rsid w:val="004236C1"/>
    <w:rsid w:val="004267DC"/>
    <w:rsid w:val="004278FB"/>
    <w:rsid w:val="004324AD"/>
    <w:rsid w:val="0044202D"/>
    <w:rsid w:val="00451CD3"/>
    <w:rsid w:val="00457D5A"/>
    <w:rsid w:val="00460EE3"/>
    <w:rsid w:val="0046323B"/>
    <w:rsid w:val="0047172C"/>
    <w:rsid w:val="0047197B"/>
    <w:rsid w:val="004738B0"/>
    <w:rsid w:val="004772C4"/>
    <w:rsid w:val="004979E8"/>
    <w:rsid w:val="004A39B4"/>
    <w:rsid w:val="004B13EE"/>
    <w:rsid w:val="004B44AD"/>
    <w:rsid w:val="004C1C9F"/>
    <w:rsid w:val="004D7144"/>
    <w:rsid w:val="004E607C"/>
    <w:rsid w:val="004E771C"/>
    <w:rsid w:val="004E7BFF"/>
    <w:rsid w:val="004F067D"/>
    <w:rsid w:val="004F12B3"/>
    <w:rsid w:val="00504BA6"/>
    <w:rsid w:val="005145EF"/>
    <w:rsid w:val="0051573E"/>
    <w:rsid w:val="0052790A"/>
    <w:rsid w:val="005330AF"/>
    <w:rsid w:val="005437A9"/>
    <w:rsid w:val="005578DD"/>
    <w:rsid w:val="00560406"/>
    <w:rsid w:val="00562165"/>
    <w:rsid w:val="00562950"/>
    <w:rsid w:val="00564690"/>
    <w:rsid w:val="00572C96"/>
    <w:rsid w:val="00584D0E"/>
    <w:rsid w:val="005B4E39"/>
    <w:rsid w:val="005C2AF6"/>
    <w:rsid w:val="00603B92"/>
    <w:rsid w:val="0060579A"/>
    <w:rsid w:val="0062642E"/>
    <w:rsid w:val="00633318"/>
    <w:rsid w:val="00634315"/>
    <w:rsid w:val="00636AF3"/>
    <w:rsid w:val="00644E8D"/>
    <w:rsid w:val="00647E26"/>
    <w:rsid w:val="006507C2"/>
    <w:rsid w:val="00650AAE"/>
    <w:rsid w:val="00652B8F"/>
    <w:rsid w:val="006668DE"/>
    <w:rsid w:val="0067145F"/>
    <w:rsid w:val="006765E9"/>
    <w:rsid w:val="0068074C"/>
    <w:rsid w:val="00682F51"/>
    <w:rsid w:val="00685F01"/>
    <w:rsid w:val="006B2CEF"/>
    <w:rsid w:val="006B6485"/>
    <w:rsid w:val="006C3B0A"/>
    <w:rsid w:val="006C42E4"/>
    <w:rsid w:val="006D3BF8"/>
    <w:rsid w:val="007172CB"/>
    <w:rsid w:val="00743DAA"/>
    <w:rsid w:val="00747426"/>
    <w:rsid w:val="00764BEB"/>
    <w:rsid w:val="0077092F"/>
    <w:rsid w:val="00774BEF"/>
    <w:rsid w:val="00787884"/>
    <w:rsid w:val="0079266F"/>
    <w:rsid w:val="007A4AA3"/>
    <w:rsid w:val="007A7AF1"/>
    <w:rsid w:val="007E44AC"/>
    <w:rsid w:val="008036A5"/>
    <w:rsid w:val="00820C0A"/>
    <w:rsid w:val="008213BF"/>
    <w:rsid w:val="008272C8"/>
    <w:rsid w:val="0083512C"/>
    <w:rsid w:val="00836EFB"/>
    <w:rsid w:val="008376B4"/>
    <w:rsid w:val="00850F58"/>
    <w:rsid w:val="00853516"/>
    <w:rsid w:val="0085369F"/>
    <w:rsid w:val="00855561"/>
    <w:rsid w:val="00863D78"/>
    <w:rsid w:val="00866050"/>
    <w:rsid w:val="008725E9"/>
    <w:rsid w:val="00882A11"/>
    <w:rsid w:val="00894F97"/>
    <w:rsid w:val="008A5FE5"/>
    <w:rsid w:val="008A6B26"/>
    <w:rsid w:val="008B2A91"/>
    <w:rsid w:val="008B3DB2"/>
    <w:rsid w:val="008C2736"/>
    <w:rsid w:val="008D19B3"/>
    <w:rsid w:val="008F0F9E"/>
    <w:rsid w:val="008F1206"/>
    <w:rsid w:val="008F415B"/>
    <w:rsid w:val="008F4EB2"/>
    <w:rsid w:val="008F56F3"/>
    <w:rsid w:val="008F5CAF"/>
    <w:rsid w:val="0090583F"/>
    <w:rsid w:val="00911786"/>
    <w:rsid w:val="00911AFE"/>
    <w:rsid w:val="00917DA2"/>
    <w:rsid w:val="00931F8A"/>
    <w:rsid w:val="00945985"/>
    <w:rsid w:val="00951EF7"/>
    <w:rsid w:val="00955547"/>
    <w:rsid w:val="0096021A"/>
    <w:rsid w:val="00961900"/>
    <w:rsid w:val="009662AC"/>
    <w:rsid w:val="00970040"/>
    <w:rsid w:val="00971C6C"/>
    <w:rsid w:val="0097492F"/>
    <w:rsid w:val="0097751C"/>
    <w:rsid w:val="00987082"/>
    <w:rsid w:val="009920DB"/>
    <w:rsid w:val="009A11A0"/>
    <w:rsid w:val="009A202E"/>
    <w:rsid w:val="009B281A"/>
    <w:rsid w:val="009C4FDA"/>
    <w:rsid w:val="009D3AC0"/>
    <w:rsid w:val="009E59DE"/>
    <w:rsid w:val="00A04F19"/>
    <w:rsid w:val="00A10AAC"/>
    <w:rsid w:val="00A1406A"/>
    <w:rsid w:val="00A47BFE"/>
    <w:rsid w:val="00A644AB"/>
    <w:rsid w:val="00A72E23"/>
    <w:rsid w:val="00A74174"/>
    <w:rsid w:val="00A908BD"/>
    <w:rsid w:val="00A9235D"/>
    <w:rsid w:val="00A92839"/>
    <w:rsid w:val="00A9283F"/>
    <w:rsid w:val="00A94950"/>
    <w:rsid w:val="00AA1B97"/>
    <w:rsid w:val="00AA38B8"/>
    <w:rsid w:val="00AA3D2B"/>
    <w:rsid w:val="00AA4D09"/>
    <w:rsid w:val="00AB1466"/>
    <w:rsid w:val="00AB1536"/>
    <w:rsid w:val="00AB2FCC"/>
    <w:rsid w:val="00AC1AD3"/>
    <w:rsid w:val="00AD25B1"/>
    <w:rsid w:val="00AD5497"/>
    <w:rsid w:val="00AD7C36"/>
    <w:rsid w:val="00AD7E67"/>
    <w:rsid w:val="00AE2CE3"/>
    <w:rsid w:val="00B12971"/>
    <w:rsid w:val="00B17819"/>
    <w:rsid w:val="00B22EC9"/>
    <w:rsid w:val="00B407F2"/>
    <w:rsid w:val="00B43706"/>
    <w:rsid w:val="00B443C8"/>
    <w:rsid w:val="00B44A23"/>
    <w:rsid w:val="00B46E34"/>
    <w:rsid w:val="00B5036F"/>
    <w:rsid w:val="00B51D70"/>
    <w:rsid w:val="00B54000"/>
    <w:rsid w:val="00B707F0"/>
    <w:rsid w:val="00B75BA3"/>
    <w:rsid w:val="00B767DB"/>
    <w:rsid w:val="00B8348B"/>
    <w:rsid w:val="00B87E77"/>
    <w:rsid w:val="00B92102"/>
    <w:rsid w:val="00BD39D3"/>
    <w:rsid w:val="00BD558F"/>
    <w:rsid w:val="00C01D44"/>
    <w:rsid w:val="00C01E05"/>
    <w:rsid w:val="00C526AC"/>
    <w:rsid w:val="00C615E1"/>
    <w:rsid w:val="00C64E51"/>
    <w:rsid w:val="00C77CED"/>
    <w:rsid w:val="00C81E8F"/>
    <w:rsid w:val="00C842DE"/>
    <w:rsid w:val="00C850C3"/>
    <w:rsid w:val="00C95AC9"/>
    <w:rsid w:val="00C965EE"/>
    <w:rsid w:val="00C97826"/>
    <w:rsid w:val="00CB0AD1"/>
    <w:rsid w:val="00CE3D28"/>
    <w:rsid w:val="00D1196C"/>
    <w:rsid w:val="00D14C9F"/>
    <w:rsid w:val="00D17CAB"/>
    <w:rsid w:val="00D2174B"/>
    <w:rsid w:val="00D273EF"/>
    <w:rsid w:val="00D52605"/>
    <w:rsid w:val="00D52D4F"/>
    <w:rsid w:val="00D5733C"/>
    <w:rsid w:val="00D76342"/>
    <w:rsid w:val="00D81C28"/>
    <w:rsid w:val="00D97294"/>
    <w:rsid w:val="00DA5606"/>
    <w:rsid w:val="00DA799D"/>
    <w:rsid w:val="00DB0DEA"/>
    <w:rsid w:val="00DC32D1"/>
    <w:rsid w:val="00DD21D9"/>
    <w:rsid w:val="00DD5F42"/>
    <w:rsid w:val="00DE4226"/>
    <w:rsid w:val="00DF0849"/>
    <w:rsid w:val="00E01091"/>
    <w:rsid w:val="00E11166"/>
    <w:rsid w:val="00E11643"/>
    <w:rsid w:val="00E15631"/>
    <w:rsid w:val="00E20C2E"/>
    <w:rsid w:val="00E329EA"/>
    <w:rsid w:val="00E521FB"/>
    <w:rsid w:val="00E62336"/>
    <w:rsid w:val="00E67637"/>
    <w:rsid w:val="00E7058B"/>
    <w:rsid w:val="00E73B49"/>
    <w:rsid w:val="00E75CDD"/>
    <w:rsid w:val="00E87002"/>
    <w:rsid w:val="00E95C3A"/>
    <w:rsid w:val="00EA2BE7"/>
    <w:rsid w:val="00ED1D16"/>
    <w:rsid w:val="00ED52C6"/>
    <w:rsid w:val="00EE323E"/>
    <w:rsid w:val="00EF631F"/>
    <w:rsid w:val="00EF7F25"/>
    <w:rsid w:val="00F3149C"/>
    <w:rsid w:val="00F44745"/>
    <w:rsid w:val="00F46256"/>
    <w:rsid w:val="00F508AC"/>
    <w:rsid w:val="00F522EC"/>
    <w:rsid w:val="00F555DD"/>
    <w:rsid w:val="00F55F88"/>
    <w:rsid w:val="00F56892"/>
    <w:rsid w:val="00F60048"/>
    <w:rsid w:val="00F61468"/>
    <w:rsid w:val="00F67773"/>
    <w:rsid w:val="00F73AB9"/>
    <w:rsid w:val="00F74B6B"/>
    <w:rsid w:val="00F770B5"/>
    <w:rsid w:val="00F92ED4"/>
    <w:rsid w:val="00F94CAC"/>
    <w:rsid w:val="00FB42AC"/>
    <w:rsid w:val="00FB74F8"/>
    <w:rsid w:val="00FC32AB"/>
    <w:rsid w:val="00FD2033"/>
    <w:rsid w:val="00FD5A34"/>
    <w:rsid w:val="00FD6713"/>
    <w:rsid w:val="02DD1A2B"/>
    <w:rsid w:val="03411FB9"/>
    <w:rsid w:val="04233FAB"/>
    <w:rsid w:val="04996A30"/>
    <w:rsid w:val="049E1DD7"/>
    <w:rsid w:val="04E60C37"/>
    <w:rsid w:val="05235E1B"/>
    <w:rsid w:val="07917AF4"/>
    <w:rsid w:val="08DB6A0C"/>
    <w:rsid w:val="08DC4C5E"/>
    <w:rsid w:val="09E518F1"/>
    <w:rsid w:val="0A681E5A"/>
    <w:rsid w:val="0A9F2604"/>
    <w:rsid w:val="0AF84D02"/>
    <w:rsid w:val="0BC83278"/>
    <w:rsid w:val="0C594818"/>
    <w:rsid w:val="0D191805"/>
    <w:rsid w:val="0D8D08B3"/>
    <w:rsid w:val="0DCF6295"/>
    <w:rsid w:val="0EEA1757"/>
    <w:rsid w:val="100C369F"/>
    <w:rsid w:val="104925E4"/>
    <w:rsid w:val="10BC5954"/>
    <w:rsid w:val="117721FA"/>
    <w:rsid w:val="11F8062F"/>
    <w:rsid w:val="12601E40"/>
    <w:rsid w:val="12750B21"/>
    <w:rsid w:val="1670216C"/>
    <w:rsid w:val="16C21602"/>
    <w:rsid w:val="171F7F4D"/>
    <w:rsid w:val="17E458DD"/>
    <w:rsid w:val="17FF470B"/>
    <w:rsid w:val="181D2B9D"/>
    <w:rsid w:val="188A0F11"/>
    <w:rsid w:val="18F62376"/>
    <w:rsid w:val="1B391A9C"/>
    <w:rsid w:val="1BE41D89"/>
    <w:rsid w:val="1CD30B19"/>
    <w:rsid w:val="1D19018A"/>
    <w:rsid w:val="1D556936"/>
    <w:rsid w:val="1E375AE7"/>
    <w:rsid w:val="1FDC0F7E"/>
    <w:rsid w:val="233A2855"/>
    <w:rsid w:val="23E26EE2"/>
    <w:rsid w:val="24144DE2"/>
    <w:rsid w:val="24B30B11"/>
    <w:rsid w:val="259F1F22"/>
    <w:rsid w:val="259F4BF2"/>
    <w:rsid w:val="25F05A35"/>
    <w:rsid w:val="26033FA2"/>
    <w:rsid w:val="26AD77E2"/>
    <w:rsid w:val="27360CE3"/>
    <w:rsid w:val="28871103"/>
    <w:rsid w:val="28C10FEA"/>
    <w:rsid w:val="291678C1"/>
    <w:rsid w:val="2935319B"/>
    <w:rsid w:val="2A756869"/>
    <w:rsid w:val="2B4258C0"/>
    <w:rsid w:val="2FC25A99"/>
    <w:rsid w:val="30FD4EC2"/>
    <w:rsid w:val="33EB36F8"/>
    <w:rsid w:val="343D608D"/>
    <w:rsid w:val="360E2202"/>
    <w:rsid w:val="36DD557A"/>
    <w:rsid w:val="373001D0"/>
    <w:rsid w:val="3750765A"/>
    <w:rsid w:val="380B25BB"/>
    <w:rsid w:val="39167469"/>
    <w:rsid w:val="39BF7C83"/>
    <w:rsid w:val="3A16328E"/>
    <w:rsid w:val="3A5B657B"/>
    <w:rsid w:val="3C753D15"/>
    <w:rsid w:val="3D2F5F8C"/>
    <w:rsid w:val="3D730F04"/>
    <w:rsid w:val="3DBD4525"/>
    <w:rsid w:val="3E4B1963"/>
    <w:rsid w:val="3F2F4DE1"/>
    <w:rsid w:val="40C162FA"/>
    <w:rsid w:val="40C559FD"/>
    <w:rsid w:val="40F879F4"/>
    <w:rsid w:val="414F2434"/>
    <w:rsid w:val="416B4DC5"/>
    <w:rsid w:val="423530DE"/>
    <w:rsid w:val="436B6ACB"/>
    <w:rsid w:val="445524EC"/>
    <w:rsid w:val="44932845"/>
    <w:rsid w:val="44EB79FC"/>
    <w:rsid w:val="453C485C"/>
    <w:rsid w:val="45660E30"/>
    <w:rsid w:val="46821325"/>
    <w:rsid w:val="4746174E"/>
    <w:rsid w:val="47872715"/>
    <w:rsid w:val="47BB36B5"/>
    <w:rsid w:val="48161C1E"/>
    <w:rsid w:val="48E629B4"/>
    <w:rsid w:val="49060960"/>
    <w:rsid w:val="4A963F66"/>
    <w:rsid w:val="4ACB20B8"/>
    <w:rsid w:val="4BC6187A"/>
    <w:rsid w:val="4C3738CE"/>
    <w:rsid w:val="4D674EAC"/>
    <w:rsid w:val="4E33765E"/>
    <w:rsid w:val="4E7768C3"/>
    <w:rsid w:val="4EB73538"/>
    <w:rsid w:val="50106568"/>
    <w:rsid w:val="5127669C"/>
    <w:rsid w:val="51DF2696"/>
    <w:rsid w:val="53654E1D"/>
    <w:rsid w:val="53B11E10"/>
    <w:rsid w:val="53D31D87"/>
    <w:rsid w:val="542556EC"/>
    <w:rsid w:val="55DB13C7"/>
    <w:rsid w:val="567C4958"/>
    <w:rsid w:val="56893F2B"/>
    <w:rsid w:val="57DF519E"/>
    <w:rsid w:val="586E5EE3"/>
    <w:rsid w:val="58C13B34"/>
    <w:rsid w:val="5A296BA4"/>
    <w:rsid w:val="5B350A06"/>
    <w:rsid w:val="5BA30291"/>
    <w:rsid w:val="5BC6007C"/>
    <w:rsid w:val="5BD90156"/>
    <w:rsid w:val="5D1C654D"/>
    <w:rsid w:val="5E510478"/>
    <w:rsid w:val="6125551D"/>
    <w:rsid w:val="61330309"/>
    <w:rsid w:val="61CA79E7"/>
    <w:rsid w:val="627B2A0F"/>
    <w:rsid w:val="65646CE3"/>
    <w:rsid w:val="67CB388D"/>
    <w:rsid w:val="69E91EAC"/>
    <w:rsid w:val="6A1D31C9"/>
    <w:rsid w:val="6A877EF3"/>
    <w:rsid w:val="6B250CC2"/>
    <w:rsid w:val="6C53360D"/>
    <w:rsid w:val="6D3225A4"/>
    <w:rsid w:val="6F631DB9"/>
    <w:rsid w:val="6F64714A"/>
    <w:rsid w:val="6F885CC3"/>
    <w:rsid w:val="6F8C57B4"/>
    <w:rsid w:val="701E2184"/>
    <w:rsid w:val="70B5023E"/>
    <w:rsid w:val="70C25205"/>
    <w:rsid w:val="70E52DAA"/>
    <w:rsid w:val="70F9762E"/>
    <w:rsid w:val="716C011E"/>
    <w:rsid w:val="71892CDE"/>
    <w:rsid w:val="727C2BCD"/>
    <w:rsid w:val="73D9089C"/>
    <w:rsid w:val="74015261"/>
    <w:rsid w:val="74985262"/>
    <w:rsid w:val="760616F0"/>
    <w:rsid w:val="76161038"/>
    <w:rsid w:val="76486DB0"/>
    <w:rsid w:val="76E23F0B"/>
    <w:rsid w:val="777E7978"/>
    <w:rsid w:val="780B7CA4"/>
    <w:rsid w:val="78156642"/>
    <w:rsid w:val="783A7C57"/>
    <w:rsid w:val="78853DCC"/>
    <w:rsid w:val="789B01BB"/>
    <w:rsid w:val="7A0B5527"/>
    <w:rsid w:val="7A84427C"/>
    <w:rsid w:val="7B822463"/>
    <w:rsid w:val="7D0466E6"/>
    <w:rsid w:val="7DB2256B"/>
    <w:rsid w:val="7F8C2C66"/>
    <w:rsid w:val="7FA25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0"/>
    <w:pPr>
      <w:jc w:val="left"/>
    </w:pPr>
  </w:style>
  <w:style w:type="paragraph" w:styleId="3">
    <w:name w:val="Body Text"/>
    <w:basedOn w:val="1"/>
    <w:link w:val="18"/>
    <w:semiHidden/>
    <w:unhideWhenUsed/>
    <w:qFormat/>
    <w:uiPriority w:val="99"/>
    <w:pPr>
      <w:spacing w:after="120"/>
    </w:pPr>
  </w:style>
  <w:style w:type="paragraph" w:styleId="4">
    <w:name w:val="Date"/>
    <w:basedOn w:val="1"/>
    <w:next w:val="1"/>
    <w:link w:val="17"/>
    <w:semiHidden/>
    <w:unhideWhenUsed/>
    <w:qFormat/>
    <w:uiPriority w:val="99"/>
    <w:pPr>
      <w:ind w:left="100" w:leftChars="2500"/>
    </w:pPr>
  </w:style>
  <w:style w:type="paragraph" w:styleId="5">
    <w:name w:val="Balloon Text"/>
    <w:basedOn w:val="1"/>
    <w:link w:val="23"/>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3"/>
    <w:link w:val="19"/>
    <w:unhideWhenUsed/>
    <w:qFormat/>
    <w:uiPriority w:val="0"/>
    <w:pPr>
      <w:ind w:firstLine="420" w:firstLineChars="100"/>
    </w:pPr>
    <w:rPr>
      <w:rFonts w:ascii="Times New Roman" w:hAnsi="Times New Roman" w:eastAsia="宋体" w:cs="Times New Roman"/>
      <w:szCs w:val="24"/>
    </w:rPr>
  </w:style>
  <w:style w:type="character" w:styleId="11">
    <w:name w:val="page number"/>
    <w:basedOn w:val="10"/>
    <w:semiHidden/>
    <w:unhideWhenUsed/>
    <w:qFormat/>
    <w:uiPriority w:val="99"/>
  </w:style>
  <w:style w:type="character" w:styleId="12">
    <w:name w:val="Hyperlink"/>
    <w:basedOn w:val="10"/>
    <w:semiHidden/>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customStyle="1" w:styleId="14">
    <w:name w:val="页眉 字符"/>
    <w:basedOn w:val="10"/>
    <w:link w:val="7"/>
    <w:qFormat/>
    <w:uiPriority w:val="99"/>
    <w:rPr>
      <w:sz w:val="18"/>
      <w:szCs w:val="18"/>
    </w:rPr>
  </w:style>
  <w:style w:type="character" w:customStyle="1" w:styleId="15">
    <w:name w:val="页脚 字符"/>
    <w:basedOn w:val="10"/>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日期 字符"/>
    <w:basedOn w:val="10"/>
    <w:link w:val="4"/>
    <w:semiHidden/>
    <w:qFormat/>
    <w:uiPriority w:val="99"/>
  </w:style>
  <w:style w:type="character" w:customStyle="1" w:styleId="18">
    <w:name w:val="正文文本 字符"/>
    <w:basedOn w:val="10"/>
    <w:link w:val="3"/>
    <w:semiHidden/>
    <w:qFormat/>
    <w:uiPriority w:val="99"/>
  </w:style>
  <w:style w:type="character" w:customStyle="1" w:styleId="19">
    <w:name w:val="正文文本首行缩进 字符"/>
    <w:basedOn w:val="18"/>
    <w:link w:val="8"/>
    <w:qFormat/>
    <w:uiPriority w:val="0"/>
    <w:rPr>
      <w:rFonts w:ascii="Times New Roman" w:hAnsi="Times New Roman" w:eastAsia="宋体" w:cs="Times New Roman"/>
      <w:szCs w:val="24"/>
    </w:rPr>
  </w:style>
  <w:style w:type="paragraph" w:customStyle="1" w:styleId="20">
    <w:name w:val="列出段落1"/>
    <w:basedOn w:val="1"/>
    <w:qFormat/>
    <w:uiPriority w:val="1"/>
    <w:rPr>
      <w:rFonts w:ascii="Times New Roman" w:hAnsi="Times New Roman" w:eastAsia="宋体" w:cs="等线"/>
      <w:szCs w:val="24"/>
    </w:rPr>
  </w:style>
  <w:style w:type="character" w:customStyle="1" w:styleId="21">
    <w:name w:val="批注文字 字符"/>
    <w:basedOn w:val="10"/>
    <w:link w:val="2"/>
    <w:qFormat/>
    <w:uiPriority w:val="99"/>
  </w:style>
  <w:style w:type="character" w:customStyle="1" w:styleId="22">
    <w:name w:val="批注文字 Char1"/>
    <w:basedOn w:val="10"/>
    <w:semiHidden/>
    <w:qFormat/>
    <w:uiPriority w:val="99"/>
  </w:style>
  <w:style w:type="character" w:customStyle="1" w:styleId="23">
    <w:name w:val="批注框文本 字符"/>
    <w:basedOn w:val="10"/>
    <w:link w:val="5"/>
    <w:semiHidden/>
    <w:qFormat/>
    <w:uiPriority w:val="99"/>
    <w:rPr>
      <w:rFonts w:asciiTheme="minorHAnsi" w:hAnsiTheme="minorHAnsi" w:eastAsiaTheme="minorEastAsia" w:cstheme="minorBidi"/>
      <w:kern w:val="2"/>
      <w:sz w:val="18"/>
      <w:szCs w:val="18"/>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BB432-43B5-476A-A715-0B6FB6667AF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10603</Words>
  <Characters>11137</Characters>
  <Lines>81</Lines>
  <Paragraphs>22</Paragraphs>
  <TotalTime>1</TotalTime>
  <ScaleCrop>false</ScaleCrop>
  <LinksUpToDate>false</LinksUpToDate>
  <CharactersWithSpaces>11345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2021-03-22T10:25:00Z</dcterms:created>
  <dc:creator>Green He</dc:creator>
  <cp:lastModifiedBy>田朋军</cp:lastModifiedBy>
  <dcterms:modified xsi:type="dcterms:W3CDTF">2023-01-11T05:15:11Z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1CAB538D31AB405FA5AA356004E222E5</vt:lpwstr>
  </property>
</Properties>
</file>